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C75D3" w14:textId="3B43A069" w:rsidR="00EA6C7C" w:rsidRPr="00571687" w:rsidRDefault="00D439F2" w:rsidP="00EA6C7C">
      <w:pPr>
        <w:jc w:val="center"/>
        <w:rPr>
          <w:sz w:val="20"/>
          <w:lang w:val="en-GB"/>
        </w:rPr>
      </w:pPr>
      <w:r>
        <w:rPr>
          <w:noProof/>
          <w:snapToGrid/>
          <w:sz w:val="20"/>
          <w:lang w:val="en-GB"/>
        </w:rPr>
        <w:drawing>
          <wp:anchor distT="0" distB="0" distL="114300" distR="114300" simplePos="0" relativeHeight="251658240" behindDoc="1" locked="0" layoutInCell="1" allowOverlap="1" wp14:anchorId="498DCB73" wp14:editId="7C6BC0CF">
            <wp:simplePos x="0" y="0"/>
            <wp:positionH relativeFrom="margin">
              <wp:posOffset>-227965</wp:posOffset>
            </wp:positionH>
            <wp:positionV relativeFrom="page">
              <wp:posOffset>342265</wp:posOffset>
            </wp:positionV>
            <wp:extent cx="946785" cy="907415"/>
            <wp:effectExtent l="0" t="0" r="571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6785" cy="907415"/>
                    </a:xfrm>
                    <a:prstGeom prst="rect">
                      <a:avLst/>
                    </a:prstGeom>
                    <a:noFill/>
                  </pic:spPr>
                </pic:pic>
              </a:graphicData>
            </a:graphic>
            <wp14:sizeRelH relativeFrom="page">
              <wp14:pctWidth>0</wp14:pctWidth>
            </wp14:sizeRelH>
            <wp14:sizeRelV relativeFrom="page">
              <wp14:pctHeight>0</wp14:pctHeight>
            </wp14:sizeRelV>
          </wp:anchor>
        </w:drawing>
      </w:r>
      <w:r w:rsidR="00EA6C7C"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40CA69EB" w14:textId="1D4CC931" w:rsidR="00EA6C7C" w:rsidRPr="00571687" w:rsidRDefault="00561BC4" w:rsidP="0025703B">
      <w:pPr>
        <w:spacing w:after="240"/>
        <w:jc w:val="center"/>
        <w:rPr>
          <w:sz w:val="28"/>
          <w:szCs w:val="28"/>
          <w:lang w:val="en-GB"/>
        </w:rPr>
      </w:pPr>
      <w:r w:rsidRPr="00286CF5">
        <w:rPr>
          <w:rStyle w:val="Strong"/>
          <w:i/>
          <w:iCs/>
          <w:sz w:val="28"/>
          <w:szCs w:val="28"/>
          <w:lang w:val="en-GB"/>
        </w:rPr>
        <w:t>Framework Contract on Supply and Delivery of Spare Parts with Provision of Ancillary Services and Random Tire Service to the EUMM Georgia Vehicle Fleet</w:t>
      </w:r>
      <w:r w:rsidR="00EA6C7C" w:rsidRPr="00571687">
        <w:rPr>
          <w:rStyle w:val="Strong"/>
          <w:sz w:val="28"/>
          <w:szCs w:val="28"/>
          <w:lang w:val="en-GB"/>
        </w:rPr>
        <w:br/>
      </w:r>
      <w:r w:rsidR="00EA6C7C" w:rsidRPr="00561BC4">
        <w:rPr>
          <w:rStyle w:val="Strong"/>
          <w:sz w:val="28"/>
          <w:szCs w:val="28"/>
          <w:lang w:val="en-GB"/>
        </w:rPr>
        <w:t>Location</w:t>
      </w:r>
      <w:r w:rsidRPr="00561BC4">
        <w:rPr>
          <w:rStyle w:val="Strong"/>
          <w:sz w:val="28"/>
          <w:szCs w:val="28"/>
          <w:lang w:val="en-GB"/>
        </w:rPr>
        <w:t>:</w:t>
      </w:r>
      <w:r w:rsidR="00EA6C7C" w:rsidRPr="00561BC4">
        <w:rPr>
          <w:rStyle w:val="Strong"/>
          <w:sz w:val="28"/>
          <w:szCs w:val="28"/>
          <w:lang w:val="en-GB"/>
        </w:rPr>
        <w:t xml:space="preserve"> </w:t>
      </w:r>
      <w:r w:rsidRPr="00561BC4">
        <w:rPr>
          <w:rStyle w:val="Emphasis"/>
          <w:b/>
          <w:bCs/>
          <w:i w:val="0"/>
          <w:sz w:val="28"/>
          <w:szCs w:val="28"/>
          <w:lang w:val="en-GB"/>
        </w:rPr>
        <w:t>Georgia (Tbilisi, Gori and Zugdidi)</w:t>
      </w:r>
    </w:p>
    <w:p w14:paraId="32090DC2" w14:textId="5D69C8B5" w:rsidR="00EA6C7C" w:rsidRPr="00561BC4" w:rsidRDefault="00EA6C7C" w:rsidP="00561BC4">
      <w:pPr>
        <w:outlineLvl w:val="0"/>
        <w:rPr>
          <w:rStyle w:val="Strong"/>
          <w:bCs/>
          <w:sz w:val="22"/>
          <w:szCs w:val="22"/>
          <w:lang w:val="en-GB"/>
        </w:rPr>
      </w:pPr>
      <w:r w:rsidRPr="00561BC4">
        <w:rPr>
          <w:rStyle w:val="Strong"/>
          <w:bCs/>
          <w:sz w:val="22"/>
          <w:szCs w:val="22"/>
          <w:lang w:val="en-GB"/>
        </w:rPr>
        <w:t xml:space="preserve">Please note that the awarding of the contract is subject to the condition </w:t>
      </w:r>
      <w:r w:rsidR="00561BC4" w:rsidRPr="00561BC4">
        <w:rPr>
          <w:rStyle w:val="Strong"/>
          <w:bCs/>
          <w:sz w:val="22"/>
          <w:szCs w:val="22"/>
          <w:lang w:val="en-GB"/>
        </w:rPr>
        <w:t xml:space="preserve">of </w:t>
      </w:r>
      <w:r w:rsidRPr="00561BC4">
        <w:rPr>
          <w:rStyle w:val="Strong"/>
          <w:bCs/>
          <w:sz w:val="22"/>
          <w:szCs w:val="22"/>
          <w:lang w:val="en-GB"/>
        </w:rPr>
        <w:t xml:space="preserve">the prior adoption of a financing decision and the prior conclusion of a financing </w:t>
      </w:r>
      <w:r w:rsidR="00561BC4" w:rsidRPr="00561BC4">
        <w:rPr>
          <w:rStyle w:val="Strong"/>
          <w:bCs/>
          <w:sz w:val="22"/>
          <w:szCs w:val="22"/>
          <w:lang w:val="en-GB"/>
        </w:rPr>
        <w:t>agreement, which</w:t>
      </w:r>
      <w:r w:rsidRPr="00561BC4">
        <w:rPr>
          <w:rStyle w:val="Strong"/>
          <w:bCs/>
          <w:sz w:val="22"/>
          <w:szCs w:val="22"/>
          <w:lang w:val="en-GB"/>
        </w:rPr>
        <w:t xml:space="preserve">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028063BB" w:rsidR="005407B9" w:rsidRPr="00561BC4" w:rsidRDefault="00561BC4" w:rsidP="00561BC4">
      <w:pPr>
        <w:pStyle w:val="PRAGHeading2"/>
        <w:numPr>
          <w:ilvl w:val="0"/>
          <w:numId w:val="0"/>
        </w:numPr>
        <w:ind w:firstLine="360"/>
        <w:rPr>
          <w:rStyle w:val="Strong"/>
          <w:b w:val="0"/>
          <w:sz w:val="22"/>
          <w:szCs w:val="22"/>
          <w:lang w:val="en-GB"/>
        </w:rPr>
      </w:pPr>
      <w:r w:rsidRPr="00561BC4">
        <w:rPr>
          <w:rStyle w:val="Strong"/>
          <w:b w:val="0"/>
          <w:sz w:val="22"/>
          <w:szCs w:val="22"/>
          <w:lang w:val="en-GB"/>
        </w:rPr>
        <w:t>U</w:t>
      </w:r>
      <w:r w:rsidR="005407B9" w:rsidRPr="00561BC4">
        <w:rPr>
          <w:rStyle w:val="Strong"/>
          <w:b w:val="0"/>
          <w:sz w:val="22"/>
          <w:szCs w:val="22"/>
          <w:lang w:val="en-GB"/>
        </w:rPr>
        <w:t xml:space="preserve">nit </w:t>
      </w:r>
      <w:r w:rsidRPr="00561BC4">
        <w:rPr>
          <w:rStyle w:val="Strong"/>
          <w:b w:val="0"/>
          <w:sz w:val="22"/>
          <w:szCs w:val="22"/>
          <w:lang w:val="en-GB"/>
        </w:rPr>
        <w:t>P</w:t>
      </w:r>
      <w:r w:rsidR="005407B9" w:rsidRPr="00561BC4">
        <w:rPr>
          <w:rStyle w:val="Strong"/>
          <w:b w:val="0"/>
          <w:sz w:val="22"/>
          <w:szCs w:val="22"/>
          <w:lang w:val="en-GB"/>
        </w:rPr>
        <w:t>rice</w:t>
      </w:r>
      <w:r w:rsidRPr="00561BC4">
        <w:rPr>
          <w:rStyle w:val="Strong"/>
          <w:b w:val="0"/>
          <w:sz w:val="22"/>
          <w:szCs w:val="22"/>
          <w:lang w:val="en-GB"/>
        </w:rPr>
        <w:t xml:space="preserve"> Framework Supply</w:t>
      </w:r>
      <w:r>
        <w:rPr>
          <w:rStyle w:val="Strong"/>
          <w:b w:val="0"/>
          <w:sz w:val="22"/>
          <w:szCs w:val="22"/>
          <w:lang w:val="en-GB"/>
        </w:rPr>
        <w:t xml:space="preserve"> Contract</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74399DD" w:rsidR="00AA22A5" w:rsidRPr="003776B0" w:rsidRDefault="00C704EF" w:rsidP="00AA22A5">
      <w:pPr>
        <w:pStyle w:val="PRAGHeading2"/>
        <w:numPr>
          <w:ilvl w:val="0"/>
          <w:numId w:val="0"/>
        </w:numPr>
        <w:ind w:left="426"/>
        <w:rPr>
          <w:lang w:val="en-GB"/>
        </w:rPr>
      </w:pPr>
      <w:r w:rsidRPr="00C704EF">
        <w:rPr>
          <w:lang w:val="en-GB"/>
        </w:rPr>
        <w:t>Council Decision (CFSP) 2020/1990 of 3 December 2020</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6D5F5F4F" w:rsidR="00CA6501" w:rsidRDefault="00C704EF" w:rsidP="00170460">
      <w:pPr>
        <w:ind w:left="426" w:right="360"/>
        <w:rPr>
          <w:sz w:val="22"/>
          <w:szCs w:val="22"/>
          <w:lang w:val="en-GB"/>
        </w:rPr>
      </w:pPr>
      <w:r w:rsidRPr="00C704EF">
        <w:rPr>
          <w:sz w:val="22"/>
          <w:szCs w:val="22"/>
          <w:lang w:val="en-GB"/>
        </w:rPr>
        <w:t>CFSP/2020/40/EUMM Georgia</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0287C92B" w14:textId="7231EB29" w:rsidR="00981FE5" w:rsidRDefault="00981FE5" w:rsidP="00AE16E2">
      <w:pPr>
        <w:pStyle w:val="paragraph"/>
        <w:spacing w:before="0" w:after="0"/>
        <w:ind w:left="426"/>
        <w:jc w:val="both"/>
        <w:textAlignment w:val="baseline"/>
        <w:rPr>
          <w:rStyle w:val="Strong"/>
          <w:b w:val="0"/>
          <w:bCs/>
          <w:snapToGrid w:val="0"/>
          <w:sz w:val="22"/>
          <w:szCs w:val="22"/>
          <w:lang w:val="en-GB" w:eastAsia="en-US"/>
        </w:rPr>
      </w:pPr>
      <w:r>
        <w:rPr>
          <w:rStyle w:val="Strong"/>
          <w:b w:val="0"/>
          <w:bCs/>
          <w:snapToGrid w:val="0"/>
          <w:sz w:val="22"/>
          <w:szCs w:val="22"/>
          <w:lang w:val="en-GB" w:eastAsia="en-US"/>
        </w:rPr>
        <w:t xml:space="preserve">Legal Basis: </w:t>
      </w:r>
      <w:r w:rsidRPr="00981FE5">
        <w:rPr>
          <w:rStyle w:val="Strong"/>
          <w:b w:val="0"/>
          <w:bCs/>
          <w:snapToGrid w:val="0"/>
          <w:sz w:val="22"/>
          <w:szCs w:val="22"/>
          <w:lang w:val="en-GB" w:eastAsia="en-US"/>
        </w:rPr>
        <w:t>CFSP/2020/40/EUMM Georgia</w:t>
      </w:r>
    </w:p>
    <w:p w14:paraId="674B3EC9" w14:textId="3A4BA1B7" w:rsidR="00AE16E2" w:rsidRPr="00AE16E2" w:rsidRDefault="00AE16E2" w:rsidP="00AE16E2">
      <w:pPr>
        <w:pStyle w:val="paragraph"/>
        <w:spacing w:before="0" w:after="0"/>
        <w:ind w:left="426"/>
        <w:jc w:val="both"/>
        <w:textAlignment w:val="baseline"/>
        <w:rPr>
          <w:rStyle w:val="Strong"/>
          <w:b w:val="0"/>
          <w:bCs/>
          <w:snapToGrid w:val="0"/>
          <w:sz w:val="22"/>
          <w:szCs w:val="22"/>
          <w:lang w:val="en-GB" w:eastAsia="en-US"/>
        </w:rPr>
      </w:pPr>
      <w:r w:rsidRPr="00AE16E2">
        <w:rPr>
          <w:rStyle w:val="Strong"/>
          <w:b w:val="0"/>
          <w:bCs/>
          <w:snapToGrid w:val="0"/>
          <w:sz w:val="22"/>
          <w:szCs w:val="22"/>
          <w:lang w:val="en-GB" w:eastAsia="en-US"/>
        </w:rPr>
        <w:t>Participation in this procurement procedure is open on equal terms to all natural and legal persons (participating either individually or in a grouping – consortium – of tenderers).</w:t>
      </w:r>
    </w:p>
    <w:p w14:paraId="480ABB09" w14:textId="4CB4860D" w:rsidR="00AE16E2" w:rsidRPr="00AE16E2" w:rsidRDefault="00AE16E2" w:rsidP="00AE16E2">
      <w:pPr>
        <w:pStyle w:val="paragraph"/>
        <w:spacing w:before="0" w:beforeAutospacing="0" w:after="0" w:afterAutospacing="0"/>
        <w:ind w:left="426"/>
        <w:jc w:val="both"/>
        <w:textAlignment w:val="baseline"/>
        <w:rPr>
          <w:rStyle w:val="Strong"/>
          <w:b w:val="0"/>
          <w:bCs/>
          <w:snapToGrid w:val="0"/>
          <w:sz w:val="22"/>
          <w:szCs w:val="22"/>
          <w:lang w:val="en-GB" w:eastAsia="en-US"/>
        </w:rPr>
      </w:pPr>
      <w:r w:rsidRPr="00AE16E2">
        <w:rPr>
          <w:rStyle w:val="Strong"/>
          <w:b w:val="0"/>
          <w:bCs/>
          <w:snapToGrid w:val="0"/>
          <w:sz w:val="22"/>
          <w:szCs w:val="22"/>
          <w:lang w:val="en-GB" w:eastAsia="en-US"/>
        </w:rPr>
        <w:t>All supplies under this contract may originate in any country.</w:t>
      </w: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EEBA33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w:t>
      </w:r>
      <w:r w:rsidR="00B470EF">
        <w:rPr>
          <w:rStyle w:val="Strong"/>
          <w:b w:val="0"/>
          <w:sz w:val="22"/>
          <w:szCs w:val="22"/>
          <w:lang w:val="en-GB"/>
        </w:rPr>
        <w:t xml:space="preserve">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30E26D46"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tenders</w:t>
      </w:r>
    </w:p>
    <w:p w14:paraId="6CD2F6BB" w14:textId="3C6C60CF"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C80539">
        <w:rPr>
          <w:rStyle w:val="Strong"/>
          <w:b w:val="0"/>
          <w:sz w:val="22"/>
          <w:szCs w:val="22"/>
          <w:lang w:val="en-GB"/>
        </w:rPr>
        <w:t>tender</w:t>
      </w:r>
      <w:r>
        <w:rPr>
          <w:rStyle w:val="Strong"/>
          <w:b w:val="0"/>
          <w:sz w:val="22"/>
          <w:szCs w:val="22"/>
          <w:lang w:val="en-GB"/>
        </w:rPr>
        <w:t xml:space="preserve">, all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117FCF44" w:rsidR="00C80539" w:rsidRPr="00FA24DB" w:rsidRDefault="00744127" w:rsidP="003D6268">
      <w:pPr>
        <w:pStyle w:val="Blockquote"/>
        <w:ind w:left="426" w:right="-48"/>
        <w:jc w:val="both"/>
        <w:rPr>
          <w:sz w:val="22"/>
          <w:szCs w:val="22"/>
          <w:lang w:val="en-GB"/>
        </w:rPr>
      </w:pPr>
      <w:r>
        <w:rPr>
          <w:sz w:val="22"/>
          <w:szCs w:val="22"/>
          <w:lang w:val="en-GB"/>
        </w:rPr>
        <w:t xml:space="preserve">In case of lots, </w:t>
      </w:r>
      <w:r w:rsidR="00C80539" w:rsidRPr="00FA24DB">
        <w:rPr>
          <w:sz w:val="22"/>
          <w:szCs w:val="22"/>
          <w:lang w:val="en-GB"/>
        </w:rPr>
        <w:t>tenderers</w:t>
      </w:r>
      <w:r w:rsidR="00AA22A5" w:rsidRPr="00FA24DB">
        <w:rPr>
          <w:sz w:val="22"/>
          <w:szCs w:val="22"/>
          <w:lang w:val="en-GB"/>
        </w:rPr>
        <w:t xml:space="preserve"> may submit only one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3D419B22" w14:textId="77777777" w:rsidR="003E0003" w:rsidRPr="006B53D1" w:rsidRDefault="003E0003" w:rsidP="003E0003">
      <w:pPr>
        <w:pStyle w:val="PRAGHeading2"/>
        <w:ind w:left="426" w:hanging="426"/>
        <w:rPr>
          <w:rStyle w:val="Strong"/>
          <w:sz w:val="22"/>
          <w:szCs w:val="22"/>
          <w:lang w:val="en-GB"/>
        </w:rPr>
      </w:pPr>
      <w:r w:rsidRPr="006B53D1">
        <w:rPr>
          <w:rStyle w:val="Strong"/>
          <w:sz w:val="22"/>
          <w:szCs w:val="22"/>
          <w:lang w:val="en-GB"/>
        </w:rPr>
        <w:t xml:space="preserve">Sub-contracting </w:t>
      </w:r>
    </w:p>
    <w:p w14:paraId="18E93714" w14:textId="7F6D9600" w:rsidR="003E0003" w:rsidRPr="00D21683" w:rsidRDefault="00D21683" w:rsidP="00D21683">
      <w:pPr>
        <w:pStyle w:val="PRAGHeading2"/>
        <w:numPr>
          <w:ilvl w:val="0"/>
          <w:numId w:val="0"/>
        </w:numPr>
        <w:ind w:left="426"/>
        <w:jc w:val="both"/>
        <w:rPr>
          <w:rStyle w:val="Strong"/>
          <w:b w:val="0"/>
          <w:bCs/>
          <w:sz w:val="22"/>
          <w:szCs w:val="22"/>
          <w:lang w:val="en-GB"/>
        </w:rPr>
      </w:pPr>
      <w:r w:rsidRPr="00D21683">
        <w:rPr>
          <w:rStyle w:val="Strong"/>
          <w:b w:val="0"/>
          <w:bCs/>
          <w:sz w:val="22"/>
          <w:szCs w:val="22"/>
          <w:lang w:val="en-GB"/>
        </w:rPr>
        <w:lastRenderedPageBreak/>
        <w:t>Sub-contracting is allowed. However, the contractor will retain full liability towards the contracting authority for performance of the contract as a whole.</w:t>
      </w:r>
      <w:r w:rsidRPr="00D21683">
        <w:t xml:space="preserve"> </w:t>
      </w:r>
      <w:r w:rsidRPr="00D21683">
        <w:rPr>
          <w:rStyle w:val="Strong"/>
          <w:b w:val="0"/>
          <w:bCs/>
          <w:sz w:val="22"/>
          <w:szCs w:val="22"/>
          <w:lang w:val="en-GB"/>
        </w:rPr>
        <w:t xml:space="preserve">If the </w:t>
      </w:r>
      <w:r>
        <w:rPr>
          <w:rStyle w:val="Strong"/>
          <w:b w:val="0"/>
          <w:bCs/>
          <w:sz w:val="22"/>
          <w:szCs w:val="22"/>
          <w:lang w:val="en-GB"/>
        </w:rPr>
        <w:t>tenderer</w:t>
      </w:r>
      <w:r w:rsidRPr="00D21683">
        <w:rPr>
          <w:rStyle w:val="Strong"/>
          <w:b w:val="0"/>
          <w:bCs/>
          <w:sz w:val="22"/>
          <w:szCs w:val="22"/>
          <w:lang w:val="en-GB"/>
        </w:rPr>
        <w:t xml:space="preserve"> intends to subcontract one or more parts of the contract, this must be clearly stated by the </w:t>
      </w:r>
      <w:r>
        <w:rPr>
          <w:rStyle w:val="Strong"/>
          <w:b w:val="0"/>
          <w:bCs/>
          <w:sz w:val="22"/>
          <w:szCs w:val="22"/>
          <w:lang w:val="en-GB"/>
        </w:rPr>
        <w:t xml:space="preserve">tenderer </w:t>
      </w:r>
      <w:r w:rsidRPr="00D21683">
        <w:rPr>
          <w:rStyle w:val="Strong"/>
          <w:b w:val="0"/>
          <w:bCs/>
          <w:sz w:val="22"/>
          <w:szCs w:val="22"/>
          <w:lang w:val="en-GB"/>
        </w:rPr>
        <w:t>in its offer.</w:t>
      </w:r>
    </w:p>
    <w:p w14:paraId="0D349B1C" w14:textId="77777777"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6B71ADF1" w14:textId="620E07CB" w:rsidR="00D21683" w:rsidRPr="00D21683" w:rsidRDefault="00D21683" w:rsidP="00D21683">
      <w:pPr>
        <w:pStyle w:val="PRAGHeading2"/>
        <w:numPr>
          <w:ilvl w:val="0"/>
          <w:numId w:val="0"/>
        </w:numPr>
        <w:ind w:left="567"/>
        <w:rPr>
          <w:rStyle w:val="Emphasis"/>
          <w:i w:val="0"/>
          <w:sz w:val="22"/>
          <w:szCs w:val="22"/>
          <w:lang w:val="en-GB"/>
        </w:rPr>
      </w:pPr>
      <w:r w:rsidRPr="00D21683">
        <w:rPr>
          <w:rStyle w:val="Emphasis"/>
          <w:i w:val="0"/>
          <w:sz w:val="22"/>
          <w:szCs w:val="22"/>
          <w:lang w:val="en-GB"/>
        </w:rPr>
        <w:t>Implementation period starts from 15 December 2022.  Duration of the</w:t>
      </w:r>
      <w:r>
        <w:rPr>
          <w:rStyle w:val="Emphasis"/>
          <w:i w:val="0"/>
          <w:sz w:val="22"/>
          <w:szCs w:val="22"/>
          <w:lang w:val="en-GB"/>
        </w:rPr>
        <w:t xml:space="preserve"> framework</w:t>
      </w:r>
      <w:r w:rsidRPr="00D21683">
        <w:rPr>
          <w:rStyle w:val="Emphasis"/>
          <w:i w:val="0"/>
          <w:sz w:val="22"/>
          <w:szCs w:val="22"/>
          <w:lang w:val="en-GB"/>
        </w:rPr>
        <w:t xml:space="preserve"> contract 24 months by 14 December 2024.</w:t>
      </w:r>
    </w:p>
    <w:p w14:paraId="032AEB4B" w14:textId="77777777" w:rsidR="00D21683" w:rsidRPr="00D21683" w:rsidRDefault="00D21683" w:rsidP="00D21683">
      <w:pPr>
        <w:pStyle w:val="PRAGHeading2"/>
        <w:numPr>
          <w:ilvl w:val="0"/>
          <w:numId w:val="0"/>
        </w:numPr>
        <w:ind w:left="567"/>
        <w:rPr>
          <w:rStyle w:val="Emphasis"/>
          <w:i w:val="0"/>
          <w:sz w:val="22"/>
          <w:szCs w:val="22"/>
          <w:lang w:val="en-GB"/>
        </w:rPr>
      </w:pPr>
      <w:r w:rsidRPr="00D21683">
        <w:rPr>
          <w:rStyle w:val="Emphasis"/>
          <w:i w:val="0"/>
          <w:sz w:val="22"/>
          <w:szCs w:val="22"/>
          <w:lang w:val="en-GB"/>
        </w:rPr>
        <w:t>It should however be noted that the performance of this contract is subject to and conditional upon i) the signature of a Delegation Agreement between the European Union and the EUMM Georgia covering the period onwards from 14 December 2022, as well as (ii) the availability of funds in the relevant budget line(s).</w:t>
      </w:r>
    </w:p>
    <w:p w14:paraId="4B685CF6" w14:textId="6616AC20" w:rsidR="00A95A76" w:rsidRPr="00C348D5" w:rsidRDefault="00D21683" w:rsidP="00D21683">
      <w:pPr>
        <w:pStyle w:val="PRAGHeading2"/>
        <w:numPr>
          <w:ilvl w:val="0"/>
          <w:numId w:val="0"/>
        </w:numPr>
        <w:ind w:left="567"/>
        <w:rPr>
          <w:rStyle w:val="Strong"/>
          <w:sz w:val="22"/>
          <w:szCs w:val="22"/>
          <w:lang w:val="en-GB"/>
        </w:rPr>
      </w:pPr>
      <w:r w:rsidRPr="00D21683">
        <w:rPr>
          <w:rStyle w:val="Emphasis"/>
          <w:i w:val="0"/>
          <w:sz w:val="22"/>
          <w:szCs w:val="22"/>
          <w:lang w:val="en-GB"/>
        </w:rPr>
        <w:t>Also, the Contracting Authority may, at its own discretion, extend the project in duration (for additional 2 years, i.e., 2 x 12 months)</w:t>
      </w:r>
      <w:r w:rsidR="000C18CE">
        <w:rPr>
          <w:rStyle w:val="Emphasis"/>
          <w:i w:val="0"/>
          <w:sz w:val="22"/>
          <w:szCs w:val="22"/>
          <w:lang w:val="en-GB"/>
        </w:rPr>
        <w:t xml:space="preserve"> </w:t>
      </w:r>
      <w:r w:rsidR="00951C43">
        <w:rPr>
          <w:rStyle w:val="Emphasis"/>
          <w:i w:val="0"/>
          <w:sz w:val="22"/>
          <w:szCs w:val="22"/>
          <w:lang w:val="en-GB"/>
        </w:rPr>
        <w:t>by the addendum</w:t>
      </w:r>
      <w:r w:rsidRPr="00D21683">
        <w:rPr>
          <w:rStyle w:val="Emphasis"/>
          <w:i w:val="0"/>
          <w:sz w:val="22"/>
          <w:szCs w:val="22"/>
          <w:lang w:val="en-GB"/>
        </w:rPr>
        <w:t>. Any extension of the contract would be subject to satisfactory performance by the Contractor. It should however be noted that the extension of this contract after 14 December 2024 is subject to and conditional upon (i) the signature of a Delegation Agreement between the European Union and the EUMM Georgia covering the period onwards from 14 December 2024, as well as (ii) the availability of funds in the relevant budget line(s).</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1593FDDD"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w:t>
      </w:r>
      <w:r w:rsidR="004323D6">
        <w:rPr>
          <w:sz w:val="22"/>
          <w:szCs w:val="22"/>
          <w:lang w:val="en-GB"/>
        </w:rPr>
        <w:t>tenderer</w:t>
      </w:r>
      <w:r w:rsidRPr="00C348D5">
        <w:rPr>
          <w:sz w:val="22"/>
          <w:szCs w:val="22"/>
          <w:lang w:val="en-GB"/>
        </w:rPr>
        <w:t xml:space="preserve"> in the tender </w:t>
      </w:r>
      <w:r w:rsidR="00355942">
        <w:rPr>
          <w:sz w:val="22"/>
          <w:szCs w:val="22"/>
          <w:lang w:val="en-GB"/>
        </w:rPr>
        <w:t xml:space="preserve">submission </w:t>
      </w:r>
      <w:r w:rsidRPr="00C348D5">
        <w:rPr>
          <w:sz w:val="22"/>
          <w:szCs w:val="22"/>
          <w:lang w:val="en-GB"/>
        </w:rPr>
        <w:t>form must be expressed in</w:t>
      </w:r>
      <w:r w:rsidR="004323D6">
        <w:rPr>
          <w:sz w:val="22"/>
          <w:szCs w:val="22"/>
          <w:lang w:val="en-GB"/>
        </w:rPr>
        <w:t xml:space="preserve"> EUR</w:t>
      </w:r>
      <w:r w:rsidR="008E579B">
        <w:rPr>
          <w:sz w:val="22"/>
          <w:szCs w:val="22"/>
          <w:lang w:val="en-GB"/>
        </w:rPr>
        <w:t xml:space="preserve">. </w:t>
      </w:r>
      <w:r w:rsidRPr="00C348D5">
        <w:rPr>
          <w:sz w:val="22"/>
          <w:szCs w:val="22"/>
          <w:lang w:val="en-GB"/>
        </w:rPr>
        <w:t xml:space="preserve">If applicable, where a </w:t>
      </w:r>
      <w:r w:rsidR="008E579B">
        <w:rPr>
          <w:sz w:val="22"/>
          <w:szCs w:val="22"/>
          <w:lang w:val="en-GB"/>
        </w:rPr>
        <w:t>tenderer</w:t>
      </w:r>
      <w:r w:rsidRPr="00C348D5">
        <w:rPr>
          <w:sz w:val="22"/>
          <w:szCs w:val="22"/>
          <w:lang w:val="en-GB"/>
        </w:rPr>
        <w:t xml:space="preserve"> refers to amounts originally expressed in a different currency, the </w:t>
      </w:r>
      <w:r w:rsidRPr="008E579B">
        <w:rPr>
          <w:sz w:val="22"/>
          <w:szCs w:val="22"/>
          <w:lang w:val="en-GB"/>
        </w:rPr>
        <w:t>conversion to</w:t>
      </w:r>
      <w:r w:rsidR="008E579B" w:rsidRPr="008E579B">
        <w:rPr>
          <w:sz w:val="22"/>
          <w:szCs w:val="22"/>
          <w:lang w:val="en-GB"/>
        </w:rPr>
        <w:t xml:space="preserve"> EUR</w:t>
      </w:r>
      <w:r w:rsidRPr="008E579B">
        <w:rPr>
          <w:sz w:val="22"/>
          <w:szCs w:val="22"/>
          <w:lang w:val="en-GB"/>
        </w:rPr>
        <w:t xml:space="preserve"> shall be made in accordance with the </w:t>
      </w:r>
      <w:proofErr w:type="spellStart"/>
      <w:r w:rsidRPr="008E579B">
        <w:rPr>
          <w:sz w:val="22"/>
          <w:szCs w:val="22"/>
          <w:lang w:val="en-GB"/>
        </w:rPr>
        <w:t>InforEuro</w:t>
      </w:r>
      <w:proofErr w:type="spellEnd"/>
      <w:r w:rsidRPr="008E579B">
        <w:rPr>
          <w:sz w:val="22"/>
          <w:szCs w:val="22"/>
          <w:lang w:val="en-GB"/>
        </w:rPr>
        <w:t xml:space="preserve"> exchange rate of </w:t>
      </w:r>
      <w:r w:rsidRPr="008E579B">
        <w:rPr>
          <w:b/>
          <w:sz w:val="22"/>
          <w:szCs w:val="22"/>
          <w:lang w:val="en-GB"/>
        </w:rPr>
        <w:t xml:space="preserve">MONTH and YEAR </w:t>
      </w:r>
      <w:r w:rsidRPr="008E579B">
        <w:rPr>
          <w:sz w:val="22"/>
          <w:szCs w:val="22"/>
          <w:lang w:val="en-GB"/>
        </w:rPr>
        <w:t xml:space="preserve">of the applicable </w:t>
      </w:r>
      <w:proofErr w:type="spellStart"/>
      <w:r w:rsidRPr="008E579B">
        <w:rPr>
          <w:sz w:val="22"/>
          <w:szCs w:val="22"/>
          <w:lang w:val="en-GB"/>
        </w:rPr>
        <w:t>InforEuro</w:t>
      </w:r>
      <w:proofErr w:type="spellEnd"/>
      <w:r w:rsidRPr="008E579B">
        <w:rPr>
          <w:sz w:val="22"/>
          <w:szCs w:val="22"/>
          <w:lang w:val="en-GB"/>
        </w:rPr>
        <w:t xml:space="preserve"> exchange rate, which can either correspond to the month and year of the publication of the present contract notice or the month and year corresponding to the deadline for submitting requests to participate, which</w:t>
      </w:r>
      <w:r w:rsidRPr="00C348D5">
        <w:rPr>
          <w:sz w:val="22"/>
          <w:szCs w:val="22"/>
          <w:lang w:val="en-GB"/>
        </w:rPr>
        <w:t xml:space="preserve"> can be found at the following address: </w:t>
      </w:r>
      <w:hyperlink r:id="rId12" w:history="1">
        <w:r w:rsidRPr="00A95A76">
          <w:rPr>
            <w:rStyle w:val="Hyperlink"/>
            <w:sz w:val="22"/>
            <w:szCs w:val="22"/>
            <w:lang w:val="en-GB"/>
          </w:rPr>
          <w:t>http://ec.europa.eu/budget/graphs/inforeuro.html</w:t>
        </w:r>
      </w:hyperlink>
      <w:r w:rsidRPr="00C348D5">
        <w:rPr>
          <w:sz w:val="22"/>
          <w:szCs w:val="22"/>
          <w:lang w:val="en-GB"/>
        </w:rPr>
        <w:t>.</w:t>
      </w: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1C649E5C"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378922E4" w:rsidR="00EA349D" w:rsidRPr="00C2748E" w:rsidRDefault="00993F6E" w:rsidP="0025703B">
      <w:pPr>
        <w:spacing w:before="240" w:after="0"/>
        <w:ind w:left="426" w:right="-48"/>
        <w:jc w:val="both"/>
        <w:rPr>
          <w:b/>
          <w:bCs/>
          <w:sz w:val="22"/>
          <w:szCs w:val="22"/>
          <w:lang w:val="en-GB"/>
        </w:rPr>
      </w:pPr>
      <w:r w:rsidRPr="00C2748E">
        <w:rPr>
          <w:b/>
          <w:bCs/>
          <w:sz w:val="22"/>
          <w:szCs w:val="22"/>
          <w:lang w:val="en-GB"/>
        </w:rPr>
        <w:t xml:space="preserve">The following selection criteria will be applied to </w:t>
      </w:r>
      <w:r w:rsidR="0086031A" w:rsidRPr="00C2748E">
        <w:rPr>
          <w:b/>
          <w:bCs/>
          <w:sz w:val="22"/>
          <w:szCs w:val="22"/>
          <w:lang w:val="en-GB"/>
        </w:rPr>
        <w:t>tenderers</w:t>
      </w:r>
      <w:r w:rsidRPr="00C2748E">
        <w:rPr>
          <w:b/>
          <w:bCs/>
          <w:sz w:val="22"/>
          <w:szCs w:val="22"/>
          <w:lang w:val="en-GB"/>
        </w:rPr>
        <w:t xml:space="preserve">. In the case of </w:t>
      </w:r>
      <w:r w:rsidR="0086031A" w:rsidRPr="00C2748E">
        <w:rPr>
          <w:b/>
          <w:bCs/>
          <w:sz w:val="22"/>
          <w:szCs w:val="22"/>
          <w:lang w:val="en-GB"/>
        </w:rPr>
        <w:t xml:space="preserve">tenders </w:t>
      </w:r>
      <w:r w:rsidRPr="00C2748E">
        <w:rPr>
          <w:b/>
          <w:bCs/>
          <w:sz w:val="22"/>
          <w:szCs w:val="22"/>
          <w:lang w:val="en-GB"/>
        </w:rPr>
        <w:t xml:space="preserve">submitted by a consortium, these selection criteria will be applied to the consortium as a whole if not </w:t>
      </w:r>
      <w:r w:rsidRPr="00C2748E">
        <w:rPr>
          <w:b/>
          <w:bCs/>
          <w:sz w:val="22"/>
          <w:szCs w:val="22"/>
          <w:lang w:val="en-GB"/>
        </w:rPr>
        <w:lastRenderedPageBreak/>
        <w:t>specified otherwise. The selection criteria will not be applied to natural persons and single-member companies when they are sub-contractors.</w:t>
      </w:r>
    </w:p>
    <w:p w14:paraId="125E326F" w14:textId="1752FA52" w:rsidR="00EA349D" w:rsidRPr="0086031A" w:rsidRDefault="00EA349D" w:rsidP="00242F6D">
      <w:pPr>
        <w:spacing w:before="240"/>
        <w:ind w:left="414"/>
        <w:jc w:val="both"/>
        <w:rPr>
          <w:sz w:val="22"/>
          <w:szCs w:val="22"/>
          <w:lang w:val="en-GB"/>
        </w:rPr>
      </w:pPr>
      <w:r w:rsidRPr="0086031A">
        <w:rPr>
          <w:sz w:val="22"/>
          <w:szCs w:val="22"/>
          <w:lang w:val="en-GB"/>
        </w:rPr>
        <w:t xml:space="preserve">The </w:t>
      </w:r>
      <w:r w:rsidR="0086031A" w:rsidRPr="0086031A">
        <w:rPr>
          <w:sz w:val="22"/>
          <w:szCs w:val="22"/>
          <w:lang w:val="en-GB"/>
        </w:rPr>
        <w:t>tenderer</w:t>
      </w:r>
      <w:r w:rsidRPr="0086031A">
        <w:rPr>
          <w:sz w:val="22"/>
          <w:szCs w:val="22"/>
          <w:lang w:val="en-GB"/>
        </w:rPr>
        <w:t xml:space="preserve"> shall not use previous experience which caused breach of contract and termination by a contracting authority as a reference for selection criteria.</w:t>
      </w:r>
    </w:p>
    <w:p w14:paraId="5594B7AA" w14:textId="6559C778" w:rsidR="00943C88" w:rsidRPr="00251D58" w:rsidRDefault="00943C88" w:rsidP="00943C88">
      <w:pPr>
        <w:ind w:firstLine="414"/>
        <w:rPr>
          <w:sz w:val="22"/>
          <w:szCs w:val="22"/>
        </w:rPr>
      </w:pPr>
      <w:r w:rsidRPr="0086031A">
        <w:rPr>
          <w:sz w:val="22"/>
          <w:szCs w:val="22"/>
        </w:rPr>
        <w:t xml:space="preserve">The selection criteria </w:t>
      </w:r>
      <w:r w:rsidRPr="00251D58">
        <w:rPr>
          <w:sz w:val="22"/>
          <w:szCs w:val="22"/>
        </w:rPr>
        <w:t>for each tenderer are as follows:</w:t>
      </w:r>
    </w:p>
    <w:p w14:paraId="74CAEB71" w14:textId="1EC80379" w:rsidR="00F33CD5" w:rsidRPr="00251D58" w:rsidRDefault="00AA22A5" w:rsidP="00093F3D">
      <w:pPr>
        <w:pStyle w:val="Blockquote"/>
        <w:numPr>
          <w:ilvl w:val="0"/>
          <w:numId w:val="22"/>
        </w:numPr>
        <w:ind w:left="757" w:right="-48"/>
        <w:jc w:val="both"/>
        <w:rPr>
          <w:sz w:val="22"/>
          <w:szCs w:val="22"/>
          <w:lang w:val="en-GB"/>
        </w:rPr>
      </w:pPr>
      <w:bookmarkStart w:id="1" w:name="_Hlk110431388"/>
      <w:r w:rsidRPr="00251D58">
        <w:rPr>
          <w:b/>
          <w:sz w:val="22"/>
          <w:szCs w:val="22"/>
          <w:u w:val="single"/>
          <w:lang w:val="en-GB"/>
        </w:rPr>
        <w:t>Economic and financial capacity</w:t>
      </w:r>
      <w:r w:rsidR="00F33CD5" w:rsidRPr="00251D58">
        <w:rPr>
          <w:sz w:val="22"/>
          <w:szCs w:val="22"/>
          <w:lang w:val="en-GB"/>
        </w:rPr>
        <w:t xml:space="preserve"> </w:t>
      </w:r>
      <w:bookmarkEnd w:id="1"/>
      <w:r w:rsidR="00F33CD5" w:rsidRPr="00251D58">
        <w:rPr>
          <w:b/>
          <w:sz w:val="22"/>
          <w:szCs w:val="22"/>
          <w:lang w:val="en-GB"/>
        </w:rPr>
        <w:t>(</w:t>
      </w:r>
      <w:r w:rsidR="00F33CD5" w:rsidRPr="00251D58">
        <w:rPr>
          <w:sz w:val="22"/>
          <w:szCs w:val="22"/>
          <w:lang w:val="en-GB"/>
        </w:rPr>
        <w:t xml:space="preserve">based on </w:t>
      </w:r>
      <w:proofErr w:type="spellStart"/>
      <w:r w:rsidR="00F33CD5" w:rsidRPr="00251D58">
        <w:rPr>
          <w:sz w:val="22"/>
          <w:szCs w:val="22"/>
          <w:lang w:val="en-GB"/>
        </w:rPr>
        <w:t>on</w:t>
      </w:r>
      <w:proofErr w:type="spellEnd"/>
      <w:r w:rsidR="00F33CD5" w:rsidRPr="00251D58">
        <w:rPr>
          <w:sz w:val="22"/>
          <w:szCs w:val="22"/>
          <w:lang w:val="en-GB"/>
        </w:rPr>
        <w:t xml:space="preserve"> item</w:t>
      </w:r>
      <w:r w:rsidR="00AA11FD" w:rsidRPr="00251D58">
        <w:rPr>
          <w:sz w:val="22"/>
          <w:szCs w:val="22"/>
          <w:lang w:val="en-GB"/>
        </w:rPr>
        <w:t xml:space="preserve"> </w:t>
      </w:r>
      <w:r w:rsidR="00F33CD5" w:rsidRPr="00251D58">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14:paraId="1F382192" w14:textId="24323453" w:rsidR="00C2748E" w:rsidRPr="00251D58" w:rsidRDefault="00685B0D" w:rsidP="00C2748E">
      <w:pPr>
        <w:pStyle w:val="Blockquote"/>
        <w:numPr>
          <w:ilvl w:val="0"/>
          <w:numId w:val="23"/>
        </w:numPr>
        <w:ind w:right="357"/>
        <w:jc w:val="both"/>
        <w:rPr>
          <w:sz w:val="22"/>
          <w:szCs w:val="22"/>
        </w:rPr>
      </w:pPr>
      <w:r w:rsidRPr="00251D58">
        <w:rPr>
          <w:sz w:val="22"/>
          <w:szCs w:val="22"/>
        </w:rPr>
        <w:t xml:space="preserve">the average annual turnover of the tenderer over the period of </w:t>
      </w:r>
      <w:r w:rsidRPr="00251D58">
        <w:rPr>
          <w:b/>
          <w:sz w:val="22"/>
          <w:szCs w:val="22"/>
        </w:rPr>
        <w:t>2019-2020-2021</w:t>
      </w:r>
      <w:r w:rsidRPr="00251D58">
        <w:rPr>
          <w:sz w:val="22"/>
          <w:szCs w:val="22"/>
        </w:rPr>
        <w:t xml:space="preserve"> must be equal or </w:t>
      </w:r>
      <w:r w:rsidRPr="00251D58">
        <w:rPr>
          <w:b/>
          <w:sz w:val="22"/>
          <w:szCs w:val="22"/>
        </w:rPr>
        <w:t>exceed 100,000.00 EUR</w:t>
      </w:r>
      <w:r w:rsidRPr="00251D58">
        <w:rPr>
          <w:sz w:val="22"/>
          <w:szCs w:val="22"/>
          <w:vertAlign w:val="superscript"/>
        </w:rPr>
        <w:t xml:space="preserve"> </w:t>
      </w:r>
      <w:r w:rsidRPr="00251D58">
        <w:rPr>
          <w:sz w:val="22"/>
          <w:szCs w:val="22"/>
          <w:vertAlign w:val="superscript"/>
        </w:rPr>
        <w:footnoteReference w:id="1"/>
      </w:r>
      <w:r w:rsidRPr="00251D58">
        <w:rPr>
          <w:sz w:val="22"/>
          <w:szCs w:val="22"/>
        </w:rPr>
        <w:t xml:space="preserve"> </w:t>
      </w:r>
      <w:r w:rsidRPr="00251D58">
        <w:rPr>
          <w:b/>
          <w:sz w:val="22"/>
          <w:szCs w:val="22"/>
        </w:rPr>
        <w:t xml:space="preserve">(one hundred thousand Euros). </w:t>
      </w:r>
    </w:p>
    <w:p w14:paraId="7F391B43" w14:textId="77E30A2A" w:rsidR="00C33219" w:rsidRPr="00251D58" w:rsidRDefault="00C33219" w:rsidP="00C33219">
      <w:pPr>
        <w:pStyle w:val="Blockquote"/>
        <w:ind w:left="720" w:right="357"/>
        <w:jc w:val="both"/>
        <w:rPr>
          <w:sz w:val="22"/>
          <w:szCs w:val="22"/>
        </w:rPr>
      </w:pPr>
      <w:bookmarkStart w:id="2" w:name="_Hlk110523207"/>
      <w:r w:rsidRPr="00251D58">
        <w:rPr>
          <w:b/>
          <w:bCs/>
          <w:sz w:val="22"/>
          <w:szCs w:val="22"/>
        </w:rPr>
        <w:t>Legitimate documentary evidences / proofs shall be submitted by the tenderers as part of their tender for the Economic and Financial Capacity. The Contracting Authority reserves the right to ask for clarifications and/or further legitimate documentary evidences / proofs for the Economic and Financial Capacity of the tenderer.</w:t>
      </w:r>
    </w:p>
    <w:bookmarkEnd w:id="2"/>
    <w:p w14:paraId="7A3A0754" w14:textId="77777777" w:rsidR="00C2748E" w:rsidRPr="00251D58" w:rsidRDefault="00C2748E" w:rsidP="00C2748E">
      <w:pPr>
        <w:pStyle w:val="Blockquote"/>
        <w:ind w:left="757" w:right="-48"/>
        <w:jc w:val="both"/>
        <w:rPr>
          <w:sz w:val="22"/>
          <w:szCs w:val="22"/>
          <w:lang w:val="en-GB"/>
        </w:rPr>
      </w:pPr>
    </w:p>
    <w:p w14:paraId="439D98ED" w14:textId="5A8DAB2A" w:rsidR="009D15E6" w:rsidRPr="00251D58" w:rsidRDefault="009D15E6" w:rsidP="00502E0C">
      <w:pPr>
        <w:pStyle w:val="Blockquote"/>
        <w:numPr>
          <w:ilvl w:val="0"/>
          <w:numId w:val="22"/>
        </w:numPr>
        <w:ind w:right="-48"/>
        <w:jc w:val="both"/>
        <w:rPr>
          <w:sz w:val="22"/>
          <w:szCs w:val="22"/>
          <w:lang w:val="en-GB"/>
        </w:rPr>
      </w:pPr>
      <w:r w:rsidRPr="00251D58">
        <w:rPr>
          <w:b/>
          <w:sz w:val="22"/>
          <w:szCs w:val="22"/>
          <w:u w:val="single"/>
          <w:lang w:val="en-GB"/>
        </w:rPr>
        <w:t>P</w:t>
      </w:r>
      <w:r w:rsidR="00AA22A5" w:rsidRPr="00251D58">
        <w:rPr>
          <w:b/>
          <w:sz w:val="22"/>
          <w:szCs w:val="22"/>
          <w:u w:val="single"/>
          <w:lang w:val="en-GB"/>
        </w:rPr>
        <w:t>rofessional capacity</w:t>
      </w:r>
      <w:r w:rsidR="00AA22A5" w:rsidRPr="00251D58">
        <w:rPr>
          <w:sz w:val="22"/>
          <w:szCs w:val="22"/>
          <w:lang w:val="en-GB"/>
        </w:rPr>
        <w:t xml:space="preserve"> </w:t>
      </w:r>
      <w:r w:rsidRPr="00251D58">
        <w:rPr>
          <w:sz w:val="22"/>
          <w:szCs w:val="22"/>
          <w:lang w:val="en-GB"/>
        </w:rPr>
        <w:t xml:space="preserve">(based </w:t>
      </w:r>
      <w:r w:rsidR="00F65592" w:rsidRPr="00251D58">
        <w:rPr>
          <w:sz w:val="22"/>
          <w:szCs w:val="22"/>
          <w:lang w:val="en-GB"/>
        </w:rPr>
        <w:t xml:space="preserve">on items 4 and 5 of the </w:t>
      </w:r>
      <w:r w:rsidR="00FF0AD1" w:rsidRPr="00251D58">
        <w:rPr>
          <w:sz w:val="22"/>
          <w:szCs w:val="22"/>
          <w:lang w:val="en-GB"/>
        </w:rPr>
        <w:t>t</w:t>
      </w:r>
      <w:r w:rsidR="00F65592" w:rsidRPr="00251D58">
        <w:rPr>
          <w:sz w:val="22"/>
          <w:szCs w:val="22"/>
          <w:lang w:val="en-GB"/>
        </w:rPr>
        <w:t xml:space="preserve">ender </w:t>
      </w:r>
      <w:r w:rsidR="00FF0AD1" w:rsidRPr="00251D58">
        <w:rPr>
          <w:sz w:val="22"/>
          <w:szCs w:val="22"/>
          <w:lang w:val="en-GB"/>
        </w:rPr>
        <w:t>f</w:t>
      </w:r>
      <w:r w:rsidR="00F65592" w:rsidRPr="00251D58">
        <w:rPr>
          <w:sz w:val="22"/>
          <w:szCs w:val="22"/>
          <w:lang w:val="en-GB"/>
        </w:rPr>
        <w:t>orm for supply contracts</w:t>
      </w:r>
      <w:r w:rsidRPr="00251D58">
        <w:rPr>
          <w:sz w:val="22"/>
          <w:szCs w:val="22"/>
          <w:lang w:val="en-GB"/>
        </w:rPr>
        <w:t>). The reference period which will be take</w:t>
      </w:r>
      <w:r w:rsidR="003907E7" w:rsidRPr="00251D58">
        <w:rPr>
          <w:sz w:val="22"/>
          <w:szCs w:val="22"/>
          <w:lang w:val="en-GB"/>
        </w:rPr>
        <w:t xml:space="preserve">n into account will be the last three </w:t>
      </w:r>
      <w:r w:rsidRPr="00251D58">
        <w:rPr>
          <w:sz w:val="22"/>
          <w:szCs w:val="22"/>
          <w:lang w:val="en-GB"/>
        </w:rPr>
        <w:t xml:space="preserve">years </w:t>
      </w:r>
      <w:r w:rsidR="003907E7" w:rsidRPr="00251D58">
        <w:rPr>
          <w:sz w:val="22"/>
          <w:szCs w:val="22"/>
          <w:lang w:val="en-GB"/>
        </w:rPr>
        <w:t>preceding the</w:t>
      </w:r>
      <w:r w:rsidRPr="00251D58">
        <w:rPr>
          <w:sz w:val="22"/>
          <w:szCs w:val="22"/>
          <w:lang w:val="en-GB"/>
        </w:rPr>
        <w:t xml:space="preserve"> submission deadline.</w:t>
      </w:r>
    </w:p>
    <w:p w14:paraId="0B640F15" w14:textId="25BE300C" w:rsidR="00C52875" w:rsidRPr="00251D58" w:rsidRDefault="00502E0C" w:rsidP="00502E0C">
      <w:pPr>
        <w:pStyle w:val="Blockquote"/>
        <w:numPr>
          <w:ilvl w:val="0"/>
          <w:numId w:val="23"/>
        </w:numPr>
        <w:ind w:right="-48"/>
        <w:jc w:val="both"/>
        <w:rPr>
          <w:sz w:val="22"/>
          <w:szCs w:val="22"/>
          <w:lang w:val="en-GB"/>
        </w:rPr>
      </w:pPr>
      <w:r w:rsidRPr="00251D58">
        <w:rPr>
          <w:sz w:val="22"/>
          <w:szCs w:val="22"/>
        </w:rPr>
        <w:t xml:space="preserve">the tenderers should have at least </w:t>
      </w:r>
      <w:r w:rsidRPr="00251D58">
        <w:rPr>
          <w:b/>
          <w:bCs/>
          <w:sz w:val="22"/>
          <w:szCs w:val="22"/>
        </w:rPr>
        <w:t>2 administrative / sales</w:t>
      </w:r>
      <w:r w:rsidRPr="00251D58">
        <w:rPr>
          <w:sz w:val="22"/>
          <w:szCs w:val="22"/>
        </w:rPr>
        <w:t xml:space="preserve"> (as a framework contract counterpart) staff currently work in fields related to this contract. Also, the tenderer shall have at least </w:t>
      </w:r>
      <w:r w:rsidR="00C71B41" w:rsidRPr="00251D58">
        <w:rPr>
          <w:sz w:val="22"/>
          <w:szCs w:val="22"/>
        </w:rPr>
        <w:t>10</w:t>
      </w:r>
      <w:r w:rsidRPr="00251D58">
        <w:rPr>
          <w:sz w:val="22"/>
          <w:szCs w:val="22"/>
        </w:rPr>
        <w:t xml:space="preserve"> </w:t>
      </w:r>
      <w:r w:rsidR="00C71B41" w:rsidRPr="00251D58">
        <w:rPr>
          <w:sz w:val="22"/>
          <w:szCs w:val="22"/>
        </w:rPr>
        <w:t>staff (technicians, mechanics</w:t>
      </w:r>
      <w:r w:rsidR="00C52875" w:rsidRPr="00251D58">
        <w:rPr>
          <w:sz w:val="22"/>
          <w:szCs w:val="22"/>
        </w:rPr>
        <w:t>, electrician, etc.</w:t>
      </w:r>
      <w:r w:rsidR="00C71B41" w:rsidRPr="00251D58">
        <w:rPr>
          <w:sz w:val="22"/>
          <w:szCs w:val="22"/>
        </w:rPr>
        <w:t xml:space="preserve">) currently work in fields related to this contract. Please note that the </w:t>
      </w:r>
      <w:bookmarkStart w:id="3" w:name="_Hlk110522144"/>
      <w:r w:rsidR="00C71B41" w:rsidRPr="00251D58">
        <w:rPr>
          <w:sz w:val="22"/>
          <w:szCs w:val="22"/>
        </w:rPr>
        <w:t>CVs</w:t>
      </w:r>
      <w:r w:rsidR="00C52875" w:rsidRPr="00251D58">
        <w:rPr>
          <w:sz w:val="22"/>
          <w:szCs w:val="22"/>
        </w:rPr>
        <w:t xml:space="preserve"> (in the template provided)</w:t>
      </w:r>
      <w:r w:rsidR="00C71B41" w:rsidRPr="00251D58">
        <w:rPr>
          <w:sz w:val="22"/>
          <w:szCs w:val="22"/>
        </w:rPr>
        <w:t xml:space="preserve"> of the following key experts: key expert 1 - Workshop Manager</w:t>
      </w:r>
      <w:r w:rsidR="00C52875" w:rsidRPr="00251D58">
        <w:rPr>
          <w:sz w:val="22"/>
          <w:szCs w:val="22"/>
        </w:rPr>
        <w:t>;</w:t>
      </w:r>
      <w:r w:rsidR="00C71B41" w:rsidRPr="00251D58">
        <w:rPr>
          <w:sz w:val="22"/>
          <w:szCs w:val="22"/>
        </w:rPr>
        <w:t xml:space="preserve"> key expert 2 - Master Mechanic; </w:t>
      </w:r>
      <w:r w:rsidR="00C52875" w:rsidRPr="00251D58">
        <w:rPr>
          <w:sz w:val="22"/>
          <w:szCs w:val="22"/>
        </w:rPr>
        <w:t>and key expert 3 - Electrician</w:t>
      </w:r>
      <w:r w:rsidR="00C71B41" w:rsidRPr="00251D58">
        <w:rPr>
          <w:sz w:val="22"/>
          <w:szCs w:val="22"/>
        </w:rPr>
        <w:t xml:space="preserve"> (as described in the Anne</w:t>
      </w:r>
      <w:r w:rsidR="00120DC2" w:rsidRPr="00251D58">
        <w:rPr>
          <w:sz w:val="22"/>
          <w:szCs w:val="22"/>
        </w:rPr>
        <w:t>x</w:t>
      </w:r>
      <w:r w:rsidR="00C71B41" w:rsidRPr="00251D58">
        <w:rPr>
          <w:sz w:val="22"/>
          <w:szCs w:val="22"/>
        </w:rPr>
        <w:t xml:space="preserve"> II+III) shall be included in the tender</w:t>
      </w:r>
      <w:bookmarkEnd w:id="3"/>
      <w:r w:rsidR="00C52875" w:rsidRPr="00251D58">
        <w:rPr>
          <w:sz w:val="22"/>
          <w:szCs w:val="22"/>
        </w:rPr>
        <w:t xml:space="preserve">. </w:t>
      </w:r>
      <w:r w:rsidR="00C71B41" w:rsidRPr="00251D58">
        <w:rPr>
          <w:sz w:val="22"/>
          <w:szCs w:val="22"/>
        </w:rPr>
        <w:t xml:space="preserve"> </w:t>
      </w:r>
    </w:p>
    <w:p w14:paraId="605FE980" w14:textId="6ECECA85" w:rsidR="00502E0C" w:rsidRPr="00251D58" w:rsidRDefault="00C52875" w:rsidP="00C52875">
      <w:pPr>
        <w:pStyle w:val="Blockquote"/>
        <w:ind w:left="720" w:right="-48"/>
        <w:jc w:val="both"/>
        <w:rPr>
          <w:sz w:val="22"/>
          <w:szCs w:val="22"/>
          <w:lang w:val="en-GB"/>
        </w:rPr>
      </w:pPr>
      <w:r w:rsidRPr="00251D58">
        <w:rPr>
          <w:sz w:val="22"/>
          <w:szCs w:val="22"/>
        </w:rPr>
        <w:t>The tables under points 4 and 5 of the Tender Form, if duly filed in, will be accepted as a satisfactory proof for the purposes of eligibility. The Contracting Authority reserves the right to ask for clarifications and/or documentary proof on the aforesaid table.</w:t>
      </w:r>
      <w:r w:rsidR="00C71B41" w:rsidRPr="00251D58">
        <w:rPr>
          <w:sz w:val="22"/>
          <w:szCs w:val="22"/>
        </w:rPr>
        <w:t xml:space="preserve"> </w:t>
      </w:r>
    </w:p>
    <w:p w14:paraId="24199B66" w14:textId="7A314064" w:rsidR="00E04B6B" w:rsidRPr="00251D58" w:rsidRDefault="00E04B6B" w:rsidP="004B24E6">
      <w:pPr>
        <w:pStyle w:val="Blockquote"/>
        <w:numPr>
          <w:ilvl w:val="0"/>
          <w:numId w:val="22"/>
        </w:numPr>
        <w:ind w:right="357"/>
        <w:jc w:val="both"/>
        <w:rPr>
          <w:sz w:val="22"/>
          <w:szCs w:val="22"/>
          <w:lang w:val="en-GB"/>
        </w:rPr>
      </w:pPr>
      <w:r w:rsidRPr="00251D58">
        <w:rPr>
          <w:b/>
          <w:sz w:val="22"/>
          <w:szCs w:val="22"/>
          <w:u w:val="single"/>
          <w:lang w:val="en-GB"/>
        </w:rPr>
        <w:t xml:space="preserve">Technical capacity </w:t>
      </w:r>
      <w:r w:rsidRPr="00251D58">
        <w:rPr>
          <w:sz w:val="22"/>
          <w:szCs w:val="22"/>
          <w:lang w:val="en-GB"/>
        </w:rPr>
        <w:t xml:space="preserve">(based </w:t>
      </w:r>
      <w:r w:rsidR="0048352B" w:rsidRPr="00251D58">
        <w:rPr>
          <w:sz w:val="22"/>
          <w:szCs w:val="22"/>
          <w:lang w:val="en-GB"/>
        </w:rPr>
        <w:t xml:space="preserve">on items 5 and 6 of the </w:t>
      </w:r>
      <w:r w:rsidR="00FF0AD1" w:rsidRPr="00251D58">
        <w:rPr>
          <w:sz w:val="22"/>
          <w:szCs w:val="22"/>
          <w:lang w:val="en-GB"/>
        </w:rPr>
        <w:t>t</w:t>
      </w:r>
      <w:r w:rsidR="0048352B" w:rsidRPr="00251D58">
        <w:rPr>
          <w:sz w:val="22"/>
          <w:szCs w:val="22"/>
          <w:lang w:val="en-GB"/>
        </w:rPr>
        <w:t xml:space="preserve">ender </w:t>
      </w:r>
      <w:r w:rsidR="00FF0AD1" w:rsidRPr="00251D58">
        <w:rPr>
          <w:sz w:val="22"/>
          <w:szCs w:val="22"/>
          <w:lang w:val="en-GB"/>
        </w:rPr>
        <w:t>f</w:t>
      </w:r>
      <w:r w:rsidR="0048352B" w:rsidRPr="00251D58">
        <w:rPr>
          <w:sz w:val="22"/>
          <w:szCs w:val="22"/>
          <w:lang w:val="en-GB"/>
        </w:rPr>
        <w:t>orm for supply contracts</w:t>
      </w:r>
      <w:r w:rsidRPr="00251D58">
        <w:rPr>
          <w:sz w:val="22"/>
          <w:szCs w:val="22"/>
          <w:lang w:val="en-GB"/>
        </w:rPr>
        <w:t>). The reference period which will be taken into account will be the last</w:t>
      </w:r>
      <w:r w:rsidR="003907E7" w:rsidRPr="00251D58">
        <w:rPr>
          <w:sz w:val="22"/>
          <w:szCs w:val="22"/>
          <w:lang w:val="en-GB"/>
        </w:rPr>
        <w:t xml:space="preserve"> three</w:t>
      </w:r>
      <w:r w:rsidRPr="00251D58">
        <w:rPr>
          <w:sz w:val="22"/>
          <w:szCs w:val="22"/>
          <w:lang w:val="en-GB"/>
        </w:rPr>
        <w:t xml:space="preserve"> years</w:t>
      </w:r>
      <w:r w:rsidR="00DC6227" w:rsidRPr="00251D58">
        <w:rPr>
          <w:sz w:val="22"/>
          <w:szCs w:val="22"/>
          <w:lang w:val="en-GB"/>
        </w:rPr>
        <w:t xml:space="preserve"> </w:t>
      </w:r>
      <w:r w:rsidR="004B24E6" w:rsidRPr="00251D58">
        <w:rPr>
          <w:sz w:val="22"/>
          <w:szCs w:val="22"/>
          <w:lang w:val="en-GB"/>
        </w:rPr>
        <w:t xml:space="preserve">before / </w:t>
      </w:r>
      <w:r w:rsidRPr="00251D58">
        <w:rPr>
          <w:sz w:val="22"/>
          <w:szCs w:val="22"/>
          <w:lang w:val="en-GB"/>
        </w:rPr>
        <w:t>from submission deadline.</w:t>
      </w:r>
    </w:p>
    <w:p w14:paraId="08427FE6" w14:textId="5060FCD4" w:rsidR="004B24E6" w:rsidRPr="00251D58" w:rsidRDefault="004B24E6" w:rsidP="004B24E6">
      <w:pPr>
        <w:pStyle w:val="Blockquote"/>
        <w:numPr>
          <w:ilvl w:val="0"/>
          <w:numId w:val="23"/>
        </w:numPr>
        <w:ind w:right="357"/>
        <w:jc w:val="both"/>
        <w:rPr>
          <w:sz w:val="22"/>
          <w:szCs w:val="22"/>
          <w:lang w:val="en-GB"/>
        </w:rPr>
      </w:pPr>
      <w:r w:rsidRPr="00251D58">
        <w:rPr>
          <w:sz w:val="22"/>
          <w:szCs w:val="22"/>
        </w:rPr>
        <w:t>the tenderer has delivered supplies with respective ancillary services: (A) under at least 1 contract</w:t>
      </w:r>
      <w:r w:rsidR="00847954" w:rsidRPr="00251D58">
        <w:rPr>
          <w:sz w:val="22"/>
          <w:szCs w:val="22"/>
        </w:rPr>
        <w:t xml:space="preserve"> </w:t>
      </w:r>
      <w:r w:rsidRPr="00251D58">
        <w:rPr>
          <w:sz w:val="22"/>
          <w:szCs w:val="22"/>
        </w:rPr>
        <w:t xml:space="preserve">with a budget of at least </w:t>
      </w:r>
      <w:r w:rsidRPr="00251D58">
        <w:rPr>
          <w:b/>
          <w:bCs/>
          <w:sz w:val="22"/>
          <w:szCs w:val="22"/>
        </w:rPr>
        <w:t>100,000.00 EUR</w:t>
      </w:r>
      <w:r w:rsidR="00847954" w:rsidRPr="00251D58">
        <w:rPr>
          <w:b/>
          <w:bCs/>
          <w:sz w:val="22"/>
          <w:szCs w:val="22"/>
        </w:rPr>
        <w:t xml:space="preserve"> (</w:t>
      </w:r>
      <w:r w:rsidR="00847954" w:rsidRPr="00251D58">
        <w:rPr>
          <w:b/>
          <w:sz w:val="22"/>
          <w:szCs w:val="22"/>
        </w:rPr>
        <w:t>one hundred thousand Euros)</w:t>
      </w:r>
      <w:r w:rsidRPr="00251D58">
        <w:rPr>
          <w:b/>
          <w:bCs/>
          <w:sz w:val="22"/>
          <w:szCs w:val="22"/>
        </w:rPr>
        <w:t>,</w:t>
      </w:r>
      <w:r w:rsidRPr="00251D58">
        <w:rPr>
          <w:sz w:val="22"/>
          <w:szCs w:val="22"/>
        </w:rPr>
        <w:t xml:space="preserve"> or (B) has sold supplies</w:t>
      </w:r>
      <w:r w:rsidR="00847954" w:rsidRPr="00251D58">
        <w:rPr>
          <w:sz w:val="22"/>
          <w:szCs w:val="22"/>
        </w:rPr>
        <w:t xml:space="preserve"> with ancillary services </w:t>
      </w:r>
      <w:r w:rsidRPr="00251D58">
        <w:rPr>
          <w:sz w:val="22"/>
          <w:szCs w:val="22"/>
        </w:rPr>
        <w:t xml:space="preserve">in multiple </w:t>
      </w:r>
      <w:bookmarkStart w:id="4" w:name="_Hlk110436353"/>
      <w:r w:rsidRPr="00251D58">
        <w:rPr>
          <w:sz w:val="22"/>
          <w:szCs w:val="22"/>
        </w:rPr>
        <w:t xml:space="preserve">sales </w:t>
      </w:r>
      <w:r w:rsidR="00847954" w:rsidRPr="00251D58">
        <w:rPr>
          <w:sz w:val="22"/>
          <w:szCs w:val="22"/>
        </w:rPr>
        <w:t xml:space="preserve">of </w:t>
      </w:r>
      <w:r w:rsidRPr="00251D58">
        <w:rPr>
          <w:sz w:val="22"/>
          <w:szCs w:val="22"/>
        </w:rPr>
        <w:t xml:space="preserve">at least </w:t>
      </w:r>
      <w:r w:rsidRPr="00251D58">
        <w:rPr>
          <w:b/>
          <w:bCs/>
          <w:sz w:val="22"/>
          <w:szCs w:val="22"/>
        </w:rPr>
        <w:t>1</w:t>
      </w:r>
      <w:r w:rsidR="00847954" w:rsidRPr="00251D58">
        <w:rPr>
          <w:b/>
          <w:bCs/>
          <w:sz w:val="22"/>
          <w:szCs w:val="22"/>
        </w:rPr>
        <w:t>50</w:t>
      </w:r>
      <w:r w:rsidRPr="00251D58">
        <w:rPr>
          <w:b/>
          <w:bCs/>
          <w:sz w:val="22"/>
          <w:szCs w:val="22"/>
        </w:rPr>
        <w:t>,000.00 EUR</w:t>
      </w:r>
      <w:bookmarkEnd w:id="4"/>
      <w:r w:rsidR="00847954" w:rsidRPr="00251D58">
        <w:rPr>
          <w:b/>
          <w:bCs/>
          <w:sz w:val="22"/>
          <w:szCs w:val="22"/>
        </w:rPr>
        <w:t xml:space="preserve"> (</w:t>
      </w:r>
      <w:r w:rsidR="00847954" w:rsidRPr="00251D58">
        <w:rPr>
          <w:b/>
          <w:sz w:val="22"/>
          <w:szCs w:val="22"/>
        </w:rPr>
        <w:t>one hundred fifty thousand Euros)</w:t>
      </w:r>
      <w:r w:rsidRPr="00251D58">
        <w:rPr>
          <w:sz w:val="22"/>
          <w:szCs w:val="22"/>
        </w:rPr>
        <w:t xml:space="preserve"> </w:t>
      </w:r>
      <w:bookmarkStart w:id="5" w:name="_Hlk110436391"/>
      <w:r w:rsidRPr="00251D58">
        <w:rPr>
          <w:sz w:val="22"/>
          <w:szCs w:val="22"/>
        </w:rPr>
        <w:t>which should be the same or similar supplies to the ones as described in the Annex II</w:t>
      </w:r>
      <w:r w:rsidR="00847954" w:rsidRPr="00251D58">
        <w:rPr>
          <w:sz w:val="22"/>
          <w:szCs w:val="22"/>
        </w:rPr>
        <w:t>+</w:t>
      </w:r>
      <w:r w:rsidRPr="00251D58">
        <w:rPr>
          <w:sz w:val="22"/>
          <w:szCs w:val="22"/>
        </w:rPr>
        <w:t>III</w:t>
      </w:r>
      <w:bookmarkEnd w:id="5"/>
      <w:r w:rsidRPr="00251D58">
        <w:rPr>
          <w:sz w:val="22"/>
          <w:szCs w:val="22"/>
        </w:rPr>
        <w:t xml:space="preserve">, and which was </w:t>
      </w:r>
      <w:r w:rsidR="009B58A8" w:rsidRPr="00251D58">
        <w:rPr>
          <w:sz w:val="22"/>
          <w:szCs w:val="22"/>
        </w:rPr>
        <w:t xml:space="preserve">successfully </w:t>
      </w:r>
      <w:r w:rsidRPr="00251D58">
        <w:rPr>
          <w:sz w:val="22"/>
          <w:szCs w:val="22"/>
        </w:rPr>
        <w:t xml:space="preserve">implemented </w:t>
      </w:r>
      <w:bookmarkStart w:id="6" w:name="_Hlk110434196"/>
      <w:r w:rsidRPr="00251D58">
        <w:rPr>
          <w:sz w:val="22"/>
          <w:szCs w:val="22"/>
        </w:rPr>
        <w:t>during the past three years preceding the submission deadline</w:t>
      </w:r>
      <w:r w:rsidR="00847954" w:rsidRPr="00251D58">
        <w:rPr>
          <w:sz w:val="22"/>
          <w:szCs w:val="22"/>
        </w:rPr>
        <w:t xml:space="preserve">. </w:t>
      </w:r>
    </w:p>
    <w:p w14:paraId="2488329B" w14:textId="77777777" w:rsidR="009B58A8" w:rsidRPr="00251D58" w:rsidRDefault="00847954" w:rsidP="00847954">
      <w:pPr>
        <w:pStyle w:val="Blockquote"/>
        <w:ind w:left="720" w:right="357"/>
        <w:jc w:val="both"/>
        <w:rPr>
          <w:b/>
          <w:bCs/>
          <w:sz w:val="22"/>
          <w:szCs w:val="22"/>
        </w:rPr>
      </w:pPr>
      <w:bookmarkStart w:id="7" w:name="_Hlk110523253"/>
      <w:bookmarkEnd w:id="6"/>
      <w:r w:rsidRPr="00251D58">
        <w:rPr>
          <w:b/>
          <w:bCs/>
          <w:sz w:val="22"/>
          <w:szCs w:val="22"/>
        </w:rPr>
        <w:t xml:space="preserve">Legitimate documentary evidences / proofs shall be submitted by the tenderers as part of their tender for the Technical Capacity. The Contracting Authority reserves the right to ask for clarifications and/or further legitimate documentary evidences / proofs for the </w:t>
      </w:r>
      <w:r w:rsidR="009B58A8" w:rsidRPr="00251D58">
        <w:rPr>
          <w:b/>
          <w:bCs/>
          <w:sz w:val="22"/>
          <w:szCs w:val="22"/>
        </w:rPr>
        <w:t>Technical</w:t>
      </w:r>
      <w:r w:rsidRPr="00251D58">
        <w:rPr>
          <w:b/>
          <w:bCs/>
          <w:sz w:val="22"/>
          <w:szCs w:val="22"/>
        </w:rPr>
        <w:t xml:space="preserve"> Capacity of the tenderer.</w:t>
      </w:r>
      <w:r w:rsidR="009B58A8" w:rsidRPr="00251D58">
        <w:rPr>
          <w:b/>
          <w:bCs/>
          <w:sz w:val="22"/>
          <w:szCs w:val="22"/>
        </w:rPr>
        <w:t xml:space="preserve"> </w:t>
      </w:r>
    </w:p>
    <w:p w14:paraId="15D1FAC9" w14:textId="26228B57" w:rsidR="00847954" w:rsidRPr="00251D58" w:rsidRDefault="009B58A8" w:rsidP="00847954">
      <w:pPr>
        <w:pStyle w:val="Blockquote"/>
        <w:ind w:left="720" w:right="357"/>
        <w:jc w:val="both"/>
        <w:rPr>
          <w:sz w:val="22"/>
          <w:szCs w:val="22"/>
        </w:rPr>
      </w:pPr>
      <w:r w:rsidRPr="00251D58">
        <w:rPr>
          <w:b/>
          <w:bCs/>
          <w:sz w:val="22"/>
          <w:szCs w:val="22"/>
        </w:rPr>
        <w:t xml:space="preserve">NOTE: </w:t>
      </w:r>
      <w:r w:rsidR="000D06E1" w:rsidRPr="00251D58">
        <w:rPr>
          <w:b/>
          <w:bCs/>
          <w:sz w:val="22"/>
          <w:szCs w:val="22"/>
        </w:rPr>
        <w:t>I</w:t>
      </w:r>
      <w:r w:rsidRPr="00251D58">
        <w:rPr>
          <w:b/>
          <w:bCs/>
          <w:sz w:val="22"/>
          <w:szCs w:val="22"/>
        </w:rPr>
        <w:t>f the tenderer will include in its tender a</w:t>
      </w:r>
      <w:r w:rsidR="008E2F8D" w:rsidRPr="00251D58">
        <w:rPr>
          <w:b/>
          <w:bCs/>
          <w:sz w:val="22"/>
          <w:szCs w:val="22"/>
        </w:rPr>
        <w:t xml:space="preserve"> copy of</w:t>
      </w:r>
      <w:r w:rsidRPr="00251D58">
        <w:rPr>
          <w:b/>
          <w:bCs/>
          <w:sz w:val="22"/>
          <w:szCs w:val="22"/>
        </w:rPr>
        <w:t xml:space="preserve"> contract</w:t>
      </w:r>
      <w:r w:rsidR="008E2F8D" w:rsidRPr="00251D58">
        <w:rPr>
          <w:b/>
          <w:bCs/>
          <w:sz w:val="22"/>
          <w:szCs w:val="22"/>
        </w:rPr>
        <w:t xml:space="preserve"> (legitimate documentary evidences / proofs)</w:t>
      </w:r>
      <w:r w:rsidRPr="00251D58">
        <w:rPr>
          <w:b/>
          <w:bCs/>
          <w:sz w:val="22"/>
          <w:szCs w:val="22"/>
        </w:rPr>
        <w:t xml:space="preserve"> with a budget of at least 100,000.00 EUR successfully implemented during the past three years preceding the submission deadline, with </w:t>
      </w:r>
      <w:r w:rsidR="008E2F8D" w:rsidRPr="00251D58">
        <w:rPr>
          <w:b/>
          <w:bCs/>
          <w:sz w:val="22"/>
          <w:szCs w:val="22"/>
        </w:rPr>
        <w:t xml:space="preserve">respective (final / provisional) acceptance certificates (if </w:t>
      </w:r>
      <w:r w:rsidR="000D06E1" w:rsidRPr="00251D58">
        <w:rPr>
          <w:b/>
          <w:bCs/>
          <w:sz w:val="22"/>
          <w:szCs w:val="22"/>
        </w:rPr>
        <w:t>applicable from that contract</w:t>
      </w:r>
      <w:r w:rsidR="008E2F8D" w:rsidRPr="00251D58">
        <w:rPr>
          <w:b/>
          <w:bCs/>
          <w:sz w:val="22"/>
          <w:szCs w:val="22"/>
        </w:rPr>
        <w:t xml:space="preserve">); or if the tenderer will include in its tender legitimate documentary evidences / proofs multiple sales of at least 150,000.00 EUR, </w:t>
      </w:r>
      <w:r w:rsidR="000D06E1" w:rsidRPr="00251D58">
        <w:rPr>
          <w:b/>
          <w:bCs/>
          <w:sz w:val="22"/>
          <w:szCs w:val="22"/>
        </w:rPr>
        <w:t xml:space="preserve">(following for both cases) </w:t>
      </w:r>
      <w:r w:rsidR="008E2F8D" w:rsidRPr="00251D58">
        <w:rPr>
          <w:b/>
          <w:bCs/>
          <w:sz w:val="22"/>
          <w:szCs w:val="22"/>
        </w:rPr>
        <w:t xml:space="preserve">which should be the same or similar supplies to the ones as described in the Annex II+III; in </w:t>
      </w:r>
      <w:r w:rsidR="008E2F8D" w:rsidRPr="00251D58">
        <w:rPr>
          <w:b/>
          <w:bCs/>
          <w:sz w:val="22"/>
          <w:szCs w:val="22"/>
        </w:rPr>
        <w:lastRenderedPageBreak/>
        <w:t xml:space="preserve">that case the legitimate documentary evidences / proofs for Technical Capacity will be sufficient to </w:t>
      </w:r>
      <w:r w:rsidR="000D06E1" w:rsidRPr="00251D58">
        <w:rPr>
          <w:b/>
          <w:bCs/>
          <w:sz w:val="22"/>
          <w:szCs w:val="22"/>
        </w:rPr>
        <w:t>cover the requirement for the legitimate documentary evidences / proofs for the Economic and Financial Capacity.</w:t>
      </w:r>
    </w:p>
    <w:bookmarkEnd w:id="7"/>
    <w:p w14:paraId="2BCB12B9" w14:textId="38C7DFE7" w:rsidR="00876CC8" w:rsidRDefault="00876CC8" w:rsidP="00093F3D">
      <w:pPr>
        <w:pStyle w:val="Blockquote"/>
        <w:tabs>
          <w:tab w:val="left" w:pos="284"/>
        </w:tabs>
        <w:ind w:left="710" w:right="26"/>
        <w:jc w:val="both"/>
        <w:rPr>
          <w:sz w:val="22"/>
          <w:szCs w:val="22"/>
          <w:lang w:val="en-GB"/>
        </w:rPr>
      </w:pPr>
      <w:r w:rsidRPr="00251D58">
        <w:rPr>
          <w:sz w:val="22"/>
          <w:szCs w:val="22"/>
          <w:lang w:val="en-GB"/>
        </w:rPr>
        <w:t xml:space="preserve">This means that the contract the </w:t>
      </w:r>
      <w:r w:rsidR="000D06E1" w:rsidRPr="00251D58">
        <w:rPr>
          <w:sz w:val="22"/>
          <w:szCs w:val="22"/>
          <w:lang w:val="en-GB"/>
        </w:rPr>
        <w:t>tenderer</w:t>
      </w:r>
      <w:r w:rsidRPr="00251D58">
        <w:rPr>
          <w:sz w:val="22"/>
          <w:szCs w:val="22"/>
          <w:lang w:val="en-GB"/>
        </w:rPr>
        <w:t xml:space="preserve"> refers to could have been started at any time during the indicated period but it does not necessarily have to be completed during that period, nor implemented during the entire period. </w:t>
      </w:r>
      <w:r w:rsidR="000D06E1" w:rsidRPr="00251D58">
        <w:rPr>
          <w:sz w:val="22"/>
          <w:szCs w:val="22"/>
          <w:lang w:val="en-GB"/>
        </w:rPr>
        <w:t>Tenderers</w:t>
      </w:r>
      <w:r w:rsidRPr="00251D58">
        <w:rPr>
          <w:sz w:val="22"/>
          <w:szCs w:val="22"/>
          <w:lang w:val="en-GB"/>
        </w:rPr>
        <w:t xml:space="preserve">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w:t>
      </w:r>
      <w:r w:rsidR="005C6B75" w:rsidRPr="00251D58">
        <w:rPr>
          <w:sz w:val="22"/>
          <w:szCs w:val="22"/>
          <w:lang w:val="en-GB"/>
        </w:rPr>
        <w:t>tenderer</w:t>
      </w:r>
      <w:r w:rsidRPr="00251D58">
        <w:rPr>
          <w:sz w:val="22"/>
          <w:szCs w:val="22"/>
          <w:lang w:val="en-GB"/>
        </w:rPr>
        <w:t xml:space="preserve"> has implemented the project in a consortium, the percentage that the </w:t>
      </w:r>
      <w:r w:rsidR="005C6B75" w:rsidRPr="00251D58">
        <w:rPr>
          <w:sz w:val="22"/>
          <w:szCs w:val="22"/>
          <w:lang w:val="en-GB"/>
        </w:rPr>
        <w:t>tenderer</w:t>
      </w:r>
      <w:r w:rsidRPr="00251D58">
        <w:rPr>
          <w:sz w:val="22"/>
          <w:szCs w:val="22"/>
          <w:lang w:val="en-GB"/>
        </w:rPr>
        <w:t xml:space="preserve"> has successfully completed must be clear from the documentary evidence, together with a description of the nature of the services provided/supplies delivered if the selection criteria relating to the pertinence of the experience have been used.</w:t>
      </w:r>
    </w:p>
    <w:p w14:paraId="0A158B66" w14:textId="256C9548" w:rsidR="00BA29BB" w:rsidRPr="00F87B91" w:rsidRDefault="00BA29BB" w:rsidP="005C6B75">
      <w:pPr>
        <w:widowControl/>
        <w:spacing w:before="240" w:after="0"/>
        <w:jc w:val="both"/>
        <w:rPr>
          <w:sz w:val="22"/>
          <w:szCs w:val="22"/>
          <w:lang w:val="en-GB"/>
        </w:rPr>
      </w:pPr>
      <w:r>
        <w:rPr>
          <w:rStyle w:val="normaltextrun"/>
          <w:b/>
          <w:bCs/>
          <w:color w:val="000000"/>
          <w:sz w:val="22"/>
          <w:szCs w:val="22"/>
          <w:shd w:val="clear" w:color="auto" w:fill="FFFFFF"/>
        </w:rPr>
        <w:t> </w:t>
      </w:r>
    </w:p>
    <w:p w14:paraId="779189B0" w14:textId="77777777" w:rsidR="00AA22A5" w:rsidRPr="005C6B75" w:rsidRDefault="00AA22A5" w:rsidP="005B6500">
      <w:pPr>
        <w:pStyle w:val="PRAGHeading2"/>
        <w:ind w:left="426" w:hanging="426"/>
        <w:rPr>
          <w:rStyle w:val="Strong"/>
          <w:sz w:val="22"/>
          <w:szCs w:val="22"/>
          <w:lang w:val="en-GB"/>
        </w:rPr>
      </w:pPr>
      <w:r w:rsidRPr="005C6B75">
        <w:rPr>
          <w:rStyle w:val="Strong"/>
          <w:sz w:val="22"/>
          <w:szCs w:val="22"/>
          <w:lang w:val="en-GB"/>
        </w:rPr>
        <w:t>Award criteria</w:t>
      </w:r>
    </w:p>
    <w:p w14:paraId="794EEE16" w14:textId="0EFF7620" w:rsidR="00CC4086" w:rsidRDefault="005C6B75" w:rsidP="00981FE5">
      <w:pPr>
        <w:pStyle w:val="Blockquote"/>
        <w:ind w:left="426" w:right="72"/>
        <w:jc w:val="both"/>
        <w:rPr>
          <w:rStyle w:val="normaltextrun"/>
          <w:b/>
          <w:bCs/>
          <w:color w:val="000000"/>
          <w:sz w:val="22"/>
          <w:szCs w:val="22"/>
          <w:shd w:val="clear" w:color="auto" w:fill="C0C0C0"/>
          <w:lang w:val="en-GB"/>
        </w:rPr>
      </w:pPr>
      <w:r>
        <w:rPr>
          <w:sz w:val="22"/>
          <w:szCs w:val="22"/>
          <w:lang w:val="en-GB"/>
        </w:rPr>
        <w:t>Price</w:t>
      </w:r>
    </w:p>
    <w:p w14:paraId="6FEBA172" w14:textId="6DC791E0" w:rsidR="009F4C6C" w:rsidRPr="00FA24DB" w:rsidRDefault="00BA29BB" w:rsidP="0027680E">
      <w:pPr>
        <w:pStyle w:val="PRAGHeading2"/>
        <w:numPr>
          <w:ilvl w:val="0"/>
          <w:numId w:val="0"/>
        </w:numPr>
        <w:spacing w:after="240"/>
        <w:ind w:left="284"/>
        <w:jc w:val="center"/>
        <w:rPr>
          <w:rStyle w:val="Strong"/>
          <w:sz w:val="22"/>
          <w:szCs w:val="22"/>
          <w:lang w:val="en-IE"/>
        </w:rPr>
      </w:pPr>
      <w:r w:rsidRPr="00075D67">
        <w:rPr>
          <w:rStyle w:val="eop"/>
          <w:color w:val="000000"/>
          <w:sz w:val="22"/>
          <w:szCs w:val="22"/>
          <w:shd w:val="clear" w:color="auto" w:fill="FFFFFF"/>
          <w:lang w:val="en-GB"/>
        </w:rPr>
        <w:br/>
      </w:r>
      <w:r w:rsidR="0080696C" w:rsidRPr="00981FE5">
        <w:rPr>
          <w:rStyle w:val="Strong"/>
          <w:sz w:val="22"/>
          <w:szCs w:val="22"/>
          <w:lang w:val="en-GB"/>
        </w:rPr>
        <w:t>PARTICIPATION</w:t>
      </w:r>
    </w:p>
    <w:p w14:paraId="669D6745" w14:textId="77777777" w:rsidR="00A31F51" w:rsidRDefault="00A31F51" w:rsidP="00A31F51">
      <w:pPr>
        <w:pStyle w:val="PRAGHeading2"/>
        <w:ind w:left="426" w:hanging="426"/>
        <w:jc w:val="both"/>
        <w:rPr>
          <w:rStyle w:val="Strong"/>
          <w:sz w:val="22"/>
          <w:szCs w:val="22"/>
          <w:lang w:val="en-GB"/>
        </w:rPr>
      </w:pPr>
      <w:r w:rsidRPr="00896FBF">
        <w:rPr>
          <w:rStyle w:val="Strong"/>
          <w:sz w:val="22"/>
          <w:szCs w:val="22"/>
          <w:lang w:val="en-GB"/>
        </w:rPr>
        <w:t>How to obtain the tender dossier</w:t>
      </w:r>
    </w:p>
    <w:p w14:paraId="3F8FAC51" w14:textId="77777777" w:rsidR="00A31F51" w:rsidRPr="001D21EA" w:rsidRDefault="00A31F51" w:rsidP="00A31F51">
      <w:pPr>
        <w:pStyle w:val="PRAGHeading2"/>
        <w:numPr>
          <w:ilvl w:val="0"/>
          <w:numId w:val="0"/>
        </w:numPr>
        <w:ind w:left="567"/>
        <w:jc w:val="both"/>
        <w:rPr>
          <w:sz w:val="22"/>
          <w:szCs w:val="22"/>
          <w:lang w:val="en-GB"/>
        </w:rPr>
      </w:pPr>
      <w:r w:rsidRPr="001D21EA">
        <w:rPr>
          <w:sz w:val="22"/>
          <w:szCs w:val="22"/>
          <w:lang w:val="en-GB"/>
        </w:rPr>
        <w:t>The present document and its attachments constitute the entire tender dossier. Tenders must be submitted using the standard tender form for a supply contract included in the tender dossier, whose format and instructions must be strictly observed.</w:t>
      </w:r>
    </w:p>
    <w:p w14:paraId="05D268A2" w14:textId="3E541008" w:rsidR="00A31F51" w:rsidRDefault="00A31F51" w:rsidP="00A31F51">
      <w:pPr>
        <w:pStyle w:val="PRAGHeading2"/>
        <w:numPr>
          <w:ilvl w:val="0"/>
          <w:numId w:val="0"/>
        </w:numPr>
        <w:ind w:left="567"/>
        <w:jc w:val="both"/>
      </w:pPr>
      <w:r w:rsidRPr="001D21EA">
        <w:rPr>
          <w:sz w:val="22"/>
          <w:szCs w:val="22"/>
          <w:lang w:val="en-GB"/>
        </w:rPr>
        <w:t xml:space="preserve">Tenderers with questions regarding this tender should send them in writing to </w:t>
      </w:r>
      <w:hyperlink r:id="rId13" w:history="1">
        <w:r w:rsidRPr="001D21EA">
          <w:t>tenders@eumm.eu</w:t>
        </w:r>
      </w:hyperlink>
      <w:r w:rsidRPr="001D21EA">
        <w:rPr>
          <w:sz w:val="22"/>
          <w:szCs w:val="22"/>
          <w:lang w:val="en-GB"/>
        </w:rPr>
        <w:t xml:space="preserve"> (mentioning the publication reference</w:t>
      </w:r>
      <w:r w:rsidR="00F8548D">
        <w:rPr>
          <w:sz w:val="22"/>
          <w:szCs w:val="22"/>
          <w:lang w:val="en-GB"/>
        </w:rPr>
        <w:t xml:space="preserve"> </w:t>
      </w:r>
      <w:r w:rsidRPr="001D21EA">
        <w:rPr>
          <w:b/>
          <w:sz w:val="22"/>
          <w:szCs w:val="22"/>
          <w:lang w:val="en-GB"/>
        </w:rPr>
        <w:t>EUMM-</w:t>
      </w:r>
      <w:r>
        <w:rPr>
          <w:b/>
          <w:sz w:val="22"/>
          <w:szCs w:val="22"/>
          <w:lang w:val="en-GB"/>
        </w:rPr>
        <w:t>22-7942</w:t>
      </w:r>
      <w:r w:rsidRPr="001D21EA">
        <w:rPr>
          <w:sz w:val="22"/>
          <w:szCs w:val="22"/>
          <w:lang w:val="en-GB"/>
        </w:rPr>
        <w:t xml:space="preserve">) at the latest 21 days before the deadline for submission of tenders given in item 20. The contracting authority must reply to all tenderers' questions at the latest </w:t>
      </w:r>
      <w:r>
        <w:rPr>
          <w:sz w:val="22"/>
          <w:szCs w:val="22"/>
          <w:lang w:val="en-GB"/>
        </w:rPr>
        <w:t>8</w:t>
      </w:r>
      <w:r w:rsidRPr="001D21EA">
        <w:rPr>
          <w:sz w:val="22"/>
          <w:szCs w:val="22"/>
          <w:lang w:val="en-GB"/>
        </w:rPr>
        <w:t xml:space="preserve"> days before the deadline for submission of tenders. Eventual clarifications or minor changes to the tender dossier shall be forwarded to all prospective tenderers at the latest </w:t>
      </w:r>
      <w:r>
        <w:rPr>
          <w:sz w:val="22"/>
          <w:szCs w:val="22"/>
          <w:lang w:val="en-GB"/>
        </w:rPr>
        <w:t>8</w:t>
      </w:r>
      <w:r w:rsidRPr="001D21EA">
        <w:rPr>
          <w:sz w:val="22"/>
          <w:szCs w:val="22"/>
          <w:lang w:val="en-GB"/>
        </w:rPr>
        <w:t xml:space="preserve"> days before the submission deadline.</w:t>
      </w:r>
      <w:r w:rsidRPr="00BD4632">
        <w:t xml:space="preserve"> </w:t>
      </w:r>
    </w:p>
    <w:p w14:paraId="0BA0B984" w14:textId="77777777" w:rsidR="006F194D" w:rsidRPr="00BD4632" w:rsidRDefault="006F194D" w:rsidP="00A31F51">
      <w:pPr>
        <w:pStyle w:val="PRAGHeading2"/>
        <w:numPr>
          <w:ilvl w:val="0"/>
          <w:numId w:val="0"/>
        </w:numPr>
        <w:ind w:left="567"/>
        <w:jc w:val="both"/>
      </w:pPr>
    </w:p>
    <w:p w14:paraId="405DC55C" w14:textId="77777777" w:rsidR="006F194D" w:rsidRPr="00F26958" w:rsidRDefault="006F194D" w:rsidP="006F194D">
      <w:pPr>
        <w:pStyle w:val="PRAGHeading2"/>
        <w:ind w:left="426" w:hanging="426"/>
        <w:jc w:val="both"/>
        <w:rPr>
          <w:rStyle w:val="Strong"/>
          <w:sz w:val="22"/>
          <w:szCs w:val="22"/>
          <w:lang w:val="en-GB"/>
        </w:rPr>
      </w:pPr>
      <w:r w:rsidRPr="00F26958">
        <w:rPr>
          <w:rStyle w:val="Strong"/>
          <w:sz w:val="22"/>
          <w:szCs w:val="22"/>
          <w:lang w:val="en-GB"/>
        </w:rPr>
        <w:t>How</w:t>
      </w:r>
      <w:r>
        <w:rPr>
          <w:rStyle w:val="Strong"/>
          <w:sz w:val="22"/>
          <w:szCs w:val="22"/>
          <w:lang w:val="en-GB"/>
        </w:rPr>
        <w:t xml:space="preserve"> tenders</w:t>
      </w:r>
      <w:r w:rsidRPr="00F26958">
        <w:rPr>
          <w:rStyle w:val="Strong"/>
          <w:sz w:val="22"/>
          <w:szCs w:val="22"/>
          <w:lang w:val="en-GB"/>
        </w:rPr>
        <w:t xml:space="preserve"> may be submitted </w:t>
      </w:r>
    </w:p>
    <w:p w14:paraId="244C3F71" w14:textId="77777777" w:rsidR="006F194D" w:rsidRDefault="006F194D" w:rsidP="006F194D">
      <w:pPr>
        <w:jc w:val="both"/>
        <w:outlineLvl w:val="0"/>
        <w:rPr>
          <w:rStyle w:val="Strong"/>
          <w:b w:val="0"/>
          <w:sz w:val="22"/>
          <w:szCs w:val="22"/>
        </w:rPr>
      </w:pPr>
      <w:bookmarkStart w:id="8" w:name="_Hlk59635840"/>
      <w:r w:rsidRPr="007806A6">
        <w:rPr>
          <w:rStyle w:val="Strong"/>
          <w:sz w:val="22"/>
          <w:szCs w:val="22"/>
        </w:rPr>
        <w:t>Tenders must be submitted in English exclusively</w:t>
      </w:r>
      <w:r>
        <w:rPr>
          <w:rStyle w:val="Strong"/>
          <w:sz w:val="22"/>
          <w:szCs w:val="22"/>
        </w:rPr>
        <w:t>.</w:t>
      </w:r>
      <w:r w:rsidRPr="007806A6">
        <w:rPr>
          <w:rStyle w:val="Strong"/>
          <w:sz w:val="22"/>
          <w:szCs w:val="22"/>
        </w:rPr>
        <w:t xml:space="preserve"> </w:t>
      </w:r>
      <w:bookmarkEnd w:id="8"/>
      <w:r>
        <w:rPr>
          <w:rStyle w:val="Strong"/>
          <w:sz w:val="22"/>
          <w:szCs w:val="22"/>
        </w:rPr>
        <w:t>Tenders must be sent, no later than the tender submission deadline, to t</w:t>
      </w:r>
      <w:r w:rsidRPr="00715E37">
        <w:rPr>
          <w:rStyle w:val="Strong"/>
          <w:sz w:val="22"/>
          <w:szCs w:val="22"/>
        </w:rPr>
        <w:t>he European Union Monitoring Mission in Georgia (EUMM)</w:t>
      </w:r>
      <w:r>
        <w:rPr>
          <w:rStyle w:val="Strong"/>
          <w:sz w:val="22"/>
          <w:szCs w:val="22"/>
        </w:rPr>
        <w:t xml:space="preserve"> </w:t>
      </w:r>
      <w:r w:rsidRPr="00342061">
        <w:rPr>
          <w:rStyle w:val="Strong"/>
          <w:sz w:val="22"/>
          <w:szCs w:val="22"/>
          <w:u w:val="single"/>
        </w:rPr>
        <w:t>in electronic form, at the email address</w:t>
      </w:r>
      <w:r>
        <w:rPr>
          <w:rStyle w:val="Strong"/>
          <w:sz w:val="22"/>
          <w:szCs w:val="22"/>
        </w:rPr>
        <w:t xml:space="preserve">: </w:t>
      </w:r>
      <w:r w:rsidRPr="007806A6">
        <w:rPr>
          <w:rStyle w:val="Strong"/>
          <w:bCs/>
          <w:color w:val="0070C0"/>
          <w:sz w:val="22"/>
          <w:szCs w:val="22"/>
        </w:rPr>
        <w:t>tenders@EUMM.EU</w:t>
      </w:r>
    </w:p>
    <w:p w14:paraId="1C2A890D" w14:textId="77777777" w:rsidR="006F194D" w:rsidRPr="008025F2" w:rsidRDefault="006F194D" w:rsidP="006F194D">
      <w:pPr>
        <w:jc w:val="both"/>
        <w:outlineLvl w:val="0"/>
        <w:rPr>
          <w:rStyle w:val="Strong"/>
          <w:bCs/>
          <w:color w:val="FF0000"/>
          <w:sz w:val="22"/>
          <w:szCs w:val="22"/>
          <w:u w:val="single"/>
        </w:rPr>
      </w:pPr>
      <w:r w:rsidRPr="008025F2">
        <w:rPr>
          <w:rStyle w:val="Strong"/>
          <w:bCs/>
          <w:color w:val="FF0000"/>
          <w:sz w:val="22"/>
          <w:szCs w:val="22"/>
          <w:u w:val="single"/>
        </w:rPr>
        <w:t xml:space="preserve">Important </w:t>
      </w:r>
      <w:r>
        <w:rPr>
          <w:rStyle w:val="Strong"/>
          <w:bCs/>
          <w:color w:val="FF0000"/>
          <w:sz w:val="22"/>
          <w:szCs w:val="22"/>
          <w:u w:val="single"/>
        </w:rPr>
        <w:t>R</w:t>
      </w:r>
      <w:r w:rsidRPr="008025F2">
        <w:rPr>
          <w:rStyle w:val="Strong"/>
          <w:bCs/>
          <w:color w:val="FF0000"/>
          <w:sz w:val="22"/>
          <w:szCs w:val="22"/>
          <w:u w:val="single"/>
        </w:rPr>
        <w:t>equirement: the electronic form is meant to be zipped folder / file containing all the documents as requested; the zipped folder / file MUST have password which shall be known only to the company (person) submitting the tender. After tender submission deadline</w:t>
      </w:r>
      <w:r>
        <w:rPr>
          <w:rStyle w:val="Strong"/>
          <w:bCs/>
          <w:color w:val="FF0000"/>
          <w:sz w:val="22"/>
          <w:szCs w:val="22"/>
          <w:u w:val="single"/>
        </w:rPr>
        <w:t>,</w:t>
      </w:r>
      <w:r w:rsidRPr="008025F2">
        <w:rPr>
          <w:rStyle w:val="Strong"/>
          <w:bCs/>
          <w:color w:val="FF0000"/>
          <w:sz w:val="22"/>
          <w:szCs w:val="22"/>
          <w:u w:val="single"/>
        </w:rPr>
        <w:t xml:space="preserve"> the Chairperson and/or the Secretary of the Evaluation Committee will cont</w:t>
      </w:r>
      <w:r>
        <w:rPr>
          <w:rStyle w:val="Strong"/>
          <w:bCs/>
          <w:color w:val="FF0000"/>
          <w:sz w:val="22"/>
          <w:szCs w:val="22"/>
          <w:u w:val="single"/>
        </w:rPr>
        <w:t>act</w:t>
      </w:r>
      <w:r w:rsidRPr="008025F2">
        <w:rPr>
          <w:rStyle w:val="Strong"/>
          <w:bCs/>
          <w:color w:val="FF0000"/>
          <w:sz w:val="22"/>
          <w:szCs w:val="22"/>
          <w:u w:val="single"/>
        </w:rPr>
        <w:t xml:space="preserve"> the company (person)</w:t>
      </w:r>
      <w:r>
        <w:rPr>
          <w:rStyle w:val="Strong"/>
          <w:bCs/>
          <w:color w:val="FF0000"/>
          <w:sz w:val="22"/>
          <w:szCs w:val="22"/>
          <w:u w:val="single"/>
        </w:rPr>
        <w:t xml:space="preserve"> via email</w:t>
      </w:r>
      <w:r w:rsidRPr="008025F2">
        <w:rPr>
          <w:rStyle w:val="Strong"/>
          <w:bCs/>
          <w:color w:val="FF0000"/>
          <w:sz w:val="22"/>
          <w:szCs w:val="22"/>
          <w:u w:val="single"/>
        </w:rPr>
        <w:t xml:space="preserve"> and request password to open the </w:t>
      </w:r>
      <w:r>
        <w:rPr>
          <w:rStyle w:val="Strong"/>
          <w:bCs/>
          <w:color w:val="FF0000"/>
          <w:sz w:val="22"/>
          <w:szCs w:val="22"/>
          <w:u w:val="single"/>
        </w:rPr>
        <w:t xml:space="preserve">submitted tender in the </w:t>
      </w:r>
      <w:r w:rsidRPr="008025F2">
        <w:rPr>
          <w:rStyle w:val="Strong"/>
          <w:bCs/>
          <w:color w:val="FF0000"/>
          <w:sz w:val="22"/>
          <w:szCs w:val="22"/>
          <w:u w:val="single"/>
        </w:rPr>
        <w:t xml:space="preserve">zipped folder / file. Tenderers </w:t>
      </w:r>
      <w:r>
        <w:rPr>
          <w:rStyle w:val="Strong"/>
          <w:bCs/>
          <w:color w:val="FF0000"/>
          <w:sz w:val="22"/>
          <w:szCs w:val="22"/>
          <w:u w:val="single"/>
        </w:rPr>
        <w:t>MUST NOT</w:t>
      </w:r>
      <w:r w:rsidRPr="008025F2">
        <w:rPr>
          <w:rStyle w:val="Strong"/>
          <w:bCs/>
          <w:color w:val="FF0000"/>
          <w:sz w:val="22"/>
          <w:szCs w:val="22"/>
          <w:u w:val="single"/>
        </w:rPr>
        <w:t xml:space="preserve"> provide the password to the contracting authority before the submission deadline. </w:t>
      </w:r>
    </w:p>
    <w:p w14:paraId="26D877A3" w14:textId="2B15D98E" w:rsidR="006F194D" w:rsidRPr="00BD4632" w:rsidRDefault="006F194D" w:rsidP="006F194D">
      <w:pPr>
        <w:pStyle w:val="Blockquote"/>
        <w:ind w:left="0" w:right="26"/>
        <w:jc w:val="both"/>
        <w:rPr>
          <w:sz w:val="22"/>
          <w:szCs w:val="22"/>
        </w:rPr>
      </w:pPr>
      <w:r w:rsidRPr="00BD4632">
        <w:rPr>
          <w:sz w:val="22"/>
          <w:szCs w:val="22"/>
        </w:rPr>
        <w:t xml:space="preserve">The </w:t>
      </w:r>
      <w:r w:rsidRPr="00BD4632">
        <w:rPr>
          <w:rStyle w:val="Strong"/>
          <w:sz w:val="22"/>
          <w:szCs w:val="22"/>
        </w:rPr>
        <w:t>contract title</w:t>
      </w:r>
      <w:r w:rsidRPr="00BD4632">
        <w:rPr>
          <w:sz w:val="22"/>
          <w:szCs w:val="22"/>
        </w:rPr>
        <w:t xml:space="preserve"> and the </w:t>
      </w:r>
      <w:r>
        <w:rPr>
          <w:rStyle w:val="Strong"/>
          <w:sz w:val="22"/>
          <w:szCs w:val="22"/>
        </w:rPr>
        <w:t>p</w:t>
      </w:r>
      <w:r w:rsidRPr="00BD4632">
        <w:rPr>
          <w:rStyle w:val="Strong"/>
          <w:sz w:val="22"/>
          <w:szCs w:val="22"/>
        </w:rPr>
        <w:t>ublication reference</w:t>
      </w:r>
      <w:r w:rsidRPr="00BD4632">
        <w:rPr>
          <w:sz w:val="22"/>
          <w:szCs w:val="22"/>
        </w:rPr>
        <w:t xml:space="preserve"> (</w:t>
      </w:r>
      <w:r>
        <w:rPr>
          <w:sz w:val="22"/>
          <w:szCs w:val="22"/>
        </w:rPr>
        <w:t>EUMM-22-7942</w:t>
      </w:r>
      <w:r w:rsidRPr="00BD4632">
        <w:rPr>
          <w:sz w:val="22"/>
          <w:szCs w:val="22"/>
        </w:rPr>
        <w:t xml:space="preserve">) must be clearly marked </w:t>
      </w:r>
      <w:r>
        <w:rPr>
          <w:sz w:val="22"/>
          <w:szCs w:val="22"/>
        </w:rPr>
        <w:t xml:space="preserve">in the email and </w:t>
      </w:r>
      <w:r w:rsidRPr="00BD4632">
        <w:rPr>
          <w:sz w:val="22"/>
          <w:szCs w:val="22"/>
        </w:rPr>
        <w:t xml:space="preserve">on </w:t>
      </w:r>
      <w:r w:rsidRPr="008025F2">
        <w:rPr>
          <w:rStyle w:val="Strong"/>
          <w:bCs/>
          <w:color w:val="FF0000"/>
          <w:sz w:val="22"/>
          <w:szCs w:val="22"/>
          <w:u w:val="single"/>
        </w:rPr>
        <w:t>the zipped folder / file</w:t>
      </w:r>
      <w:r>
        <w:rPr>
          <w:rStyle w:val="Strong"/>
          <w:bCs/>
          <w:color w:val="FF0000"/>
          <w:sz w:val="22"/>
          <w:szCs w:val="22"/>
          <w:u w:val="single"/>
        </w:rPr>
        <w:t xml:space="preserve"> (with password)</w:t>
      </w:r>
      <w:r w:rsidRPr="008025F2">
        <w:rPr>
          <w:rStyle w:val="Strong"/>
          <w:bCs/>
          <w:color w:val="FF0000"/>
          <w:sz w:val="22"/>
          <w:szCs w:val="22"/>
          <w:u w:val="single"/>
        </w:rPr>
        <w:t xml:space="preserve"> </w:t>
      </w:r>
      <w:r w:rsidRPr="00BD4632">
        <w:rPr>
          <w:sz w:val="22"/>
          <w:szCs w:val="22"/>
        </w:rPr>
        <w:t>containing the tender and must always be mentioned in all subsequent correspondence with the contracting authority.</w:t>
      </w:r>
      <w:r>
        <w:rPr>
          <w:sz w:val="22"/>
          <w:szCs w:val="22"/>
        </w:rPr>
        <w:t xml:space="preserve"> </w:t>
      </w:r>
    </w:p>
    <w:p w14:paraId="59727FBB" w14:textId="77777777" w:rsidR="006F194D" w:rsidRPr="002C4684" w:rsidRDefault="006F194D" w:rsidP="006F194D">
      <w:pPr>
        <w:pStyle w:val="Blockquote"/>
        <w:ind w:left="0" w:right="26"/>
        <w:jc w:val="both"/>
        <w:rPr>
          <w:rStyle w:val="Strong"/>
          <w:b w:val="0"/>
          <w:color w:val="FF0000"/>
          <w:sz w:val="22"/>
          <w:szCs w:val="22"/>
        </w:rPr>
      </w:pPr>
      <w:r w:rsidRPr="002C4684">
        <w:rPr>
          <w:rStyle w:val="Strong"/>
          <w:color w:val="FF0000"/>
          <w:sz w:val="22"/>
          <w:szCs w:val="22"/>
        </w:rPr>
        <w:t xml:space="preserve">Tenders submitted by any other means will not be considered. </w:t>
      </w:r>
    </w:p>
    <w:p w14:paraId="189B08C5" w14:textId="77777777" w:rsidR="006F194D" w:rsidRPr="00BD4632" w:rsidRDefault="006F194D" w:rsidP="006F194D">
      <w:pPr>
        <w:pStyle w:val="Blockquote"/>
        <w:ind w:left="0" w:right="26"/>
        <w:jc w:val="both"/>
        <w:rPr>
          <w:rStyle w:val="Strong"/>
          <w:b w:val="0"/>
          <w:sz w:val="22"/>
          <w:szCs w:val="22"/>
        </w:rPr>
      </w:pPr>
      <w:r w:rsidRPr="00BD4632">
        <w:rPr>
          <w:sz w:val="22"/>
          <w:szCs w:val="22"/>
        </w:rPr>
        <w:t xml:space="preserve">By submitting a tender </w:t>
      </w:r>
      <w:r>
        <w:rPr>
          <w:sz w:val="22"/>
          <w:szCs w:val="22"/>
        </w:rPr>
        <w:t xml:space="preserve">tenderer </w:t>
      </w:r>
      <w:r w:rsidRPr="00BD4632">
        <w:rPr>
          <w:sz w:val="22"/>
          <w:szCs w:val="22"/>
        </w:rPr>
        <w:t>accept to receive notification of the outcome of the procedure by electronic means.</w:t>
      </w:r>
      <w:r w:rsidRPr="00BD4632">
        <w:t xml:space="preserve"> </w:t>
      </w:r>
      <w:r w:rsidRPr="00BD4632">
        <w:rPr>
          <w:sz w:val="22"/>
          <w:szCs w:val="22"/>
        </w:rPr>
        <w:t>Such notification shall be deemed to have been received on the date upon which the contracting authority sends it to the electronic address referred to in the tender.</w:t>
      </w:r>
    </w:p>
    <w:p w14:paraId="5661144F" w14:textId="77777777" w:rsidR="00101991" w:rsidRDefault="00101991" w:rsidP="007A21C8">
      <w:pPr>
        <w:tabs>
          <w:tab w:val="left" w:pos="426"/>
        </w:tabs>
        <w:ind w:left="426"/>
        <w:jc w:val="both"/>
        <w:rPr>
          <w:sz w:val="22"/>
          <w:szCs w:val="22"/>
          <w:highlight w:val="lightGray"/>
          <w:lang w:val="en-GB"/>
        </w:rPr>
      </w:pPr>
    </w:p>
    <w:p w14:paraId="1C286C7D" w14:textId="77777777" w:rsidR="00CD09E8" w:rsidRPr="00E330CA" w:rsidRDefault="00CD09E8" w:rsidP="00CD09E8">
      <w:pPr>
        <w:pStyle w:val="PRAGHeading2"/>
        <w:tabs>
          <w:tab w:val="clear" w:pos="567"/>
          <w:tab w:val="num" w:pos="426"/>
        </w:tabs>
        <w:ind w:hanging="567"/>
        <w:rPr>
          <w:snapToGrid/>
          <w:sz w:val="22"/>
          <w:lang w:val="en-GB"/>
        </w:rPr>
      </w:pPr>
      <w:r w:rsidRPr="00E330CA">
        <w:rPr>
          <w:rStyle w:val="Strong"/>
          <w:lang w:val="en-GB"/>
        </w:rPr>
        <w:t xml:space="preserve">Deadline for submission of </w:t>
      </w:r>
      <w:r>
        <w:rPr>
          <w:rStyle w:val="Strong"/>
          <w:lang w:val="en-GB"/>
        </w:rPr>
        <w:t>tender</w:t>
      </w:r>
    </w:p>
    <w:p w14:paraId="55D6B11B" w14:textId="7807ED63" w:rsidR="00CD09E8" w:rsidRPr="00E330CA" w:rsidRDefault="00CD09E8" w:rsidP="00CD09E8">
      <w:pPr>
        <w:pStyle w:val="PRAGHeading2"/>
        <w:numPr>
          <w:ilvl w:val="0"/>
          <w:numId w:val="0"/>
        </w:numPr>
        <w:ind w:left="426"/>
        <w:jc w:val="both"/>
        <w:rPr>
          <w:rStyle w:val="Emphasis"/>
          <w:b/>
          <w:i w:val="0"/>
          <w:iCs/>
          <w:sz w:val="22"/>
          <w:szCs w:val="22"/>
          <w:lang w:val="en-GB"/>
        </w:rPr>
      </w:pPr>
      <w:r w:rsidRPr="00F63BFD">
        <w:rPr>
          <w:rStyle w:val="Emphasis"/>
          <w:b/>
          <w:i w:val="0"/>
          <w:iCs/>
          <w:sz w:val="22"/>
          <w:szCs w:val="22"/>
          <w:lang w:val="en-GB"/>
        </w:rPr>
        <w:t xml:space="preserve">The deadline for submission of tender is </w:t>
      </w:r>
      <w:r w:rsidR="00BB07BF">
        <w:rPr>
          <w:rStyle w:val="Emphasis"/>
          <w:b/>
          <w:i w:val="0"/>
          <w:iCs/>
          <w:color w:val="FF0000"/>
          <w:sz w:val="22"/>
          <w:szCs w:val="22"/>
          <w:u w:val="single"/>
          <w:lang w:val="en-GB"/>
        </w:rPr>
        <w:t>10 October</w:t>
      </w:r>
      <w:r w:rsidRPr="00F63BFD">
        <w:rPr>
          <w:rStyle w:val="Emphasis"/>
          <w:b/>
          <w:i w:val="0"/>
          <w:iCs/>
          <w:color w:val="FF0000"/>
          <w:sz w:val="22"/>
          <w:szCs w:val="22"/>
          <w:u w:val="single"/>
          <w:lang w:val="en-GB"/>
        </w:rPr>
        <w:t xml:space="preserve"> 202</w:t>
      </w:r>
      <w:r w:rsidR="00FC0F14">
        <w:rPr>
          <w:rStyle w:val="Emphasis"/>
          <w:b/>
          <w:i w:val="0"/>
          <w:iCs/>
          <w:color w:val="FF0000"/>
          <w:sz w:val="22"/>
          <w:szCs w:val="22"/>
          <w:u w:val="single"/>
          <w:lang w:val="en-GB"/>
        </w:rPr>
        <w:t>2</w:t>
      </w:r>
      <w:r w:rsidRPr="00F63BFD">
        <w:rPr>
          <w:rStyle w:val="Emphasis"/>
          <w:b/>
          <w:i w:val="0"/>
          <w:iCs/>
          <w:color w:val="FF0000"/>
          <w:sz w:val="22"/>
          <w:szCs w:val="22"/>
          <w:u w:val="single"/>
          <w:lang w:val="en-GB"/>
        </w:rPr>
        <w:t xml:space="preserve"> at </w:t>
      </w:r>
      <w:bookmarkStart w:id="9" w:name="_Hlk49846317"/>
      <w:r w:rsidRPr="00F63BFD">
        <w:rPr>
          <w:rStyle w:val="Strong"/>
          <w:color w:val="FF0000"/>
          <w:sz w:val="22"/>
          <w:szCs w:val="22"/>
          <w:u w:val="single"/>
          <w:lang w:val="en-GB"/>
        </w:rPr>
        <w:t xml:space="preserve">15:00 hrs </w:t>
      </w:r>
      <w:r w:rsidRPr="00F63BFD">
        <w:rPr>
          <w:rStyle w:val="Strong"/>
          <w:color w:val="FF0000"/>
          <w:sz w:val="22"/>
          <w:szCs w:val="22"/>
          <w:lang w:val="en-GB"/>
        </w:rPr>
        <w:t>local</w:t>
      </w:r>
      <w:r w:rsidRPr="007C3CEE">
        <w:rPr>
          <w:rStyle w:val="Strong"/>
          <w:color w:val="FF0000"/>
          <w:sz w:val="22"/>
          <w:szCs w:val="22"/>
          <w:lang w:val="en-GB"/>
        </w:rPr>
        <w:t xml:space="preserve"> Georgian time</w:t>
      </w:r>
      <w:bookmarkEnd w:id="9"/>
      <w:r w:rsidRPr="007C3CEE">
        <w:rPr>
          <w:rStyle w:val="Emphasis"/>
          <w:b/>
          <w:i w:val="0"/>
          <w:iCs/>
          <w:color w:val="FF0000"/>
          <w:sz w:val="22"/>
          <w:szCs w:val="22"/>
          <w:lang w:val="en-GB"/>
        </w:rPr>
        <w:t xml:space="preserve"> </w:t>
      </w:r>
      <w:r w:rsidRPr="00696EF0">
        <w:rPr>
          <w:rStyle w:val="Emphasis"/>
          <w:b/>
          <w:i w:val="0"/>
          <w:iCs/>
          <w:sz w:val="22"/>
          <w:szCs w:val="22"/>
          <w:lang w:val="en-GB"/>
        </w:rPr>
        <w:t>which can also be found in the Contract Notice under IV.2.2.</w:t>
      </w:r>
    </w:p>
    <w:p w14:paraId="28552D68" w14:textId="340944F0" w:rsidR="00CD09E8" w:rsidRDefault="00CD09E8" w:rsidP="00CD09E8">
      <w:pPr>
        <w:pStyle w:val="PRAGHeading2"/>
        <w:numPr>
          <w:ilvl w:val="0"/>
          <w:numId w:val="0"/>
        </w:numPr>
        <w:ind w:left="426"/>
        <w:jc w:val="both"/>
        <w:rPr>
          <w:rStyle w:val="Emphasis"/>
          <w:b/>
          <w:bCs/>
          <w:i w:val="0"/>
          <w:iCs/>
          <w:color w:val="FF0000"/>
          <w:sz w:val="22"/>
          <w:szCs w:val="22"/>
          <w:u w:val="single"/>
          <w:lang w:val="en-GB"/>
        </w:rPr>
      </w:pPr>
      <w:r w:rsidRPr="002C4684">
        <w:rPr>
          <w:rStyle w:val="Emphasis"/>
          <w:b/>
          <w:bCs/>
          <w:i w:val="0"/>
          <w:iCs/>
          <w:color w:val="FF0000"/>
          <w:sz w:val="22"/>
          <w:szCs w:val="22"/>
          <w:u w:val="single"/>
          <w:lang w:val="en-GB"/>
        </w:rPr>
        <w:t>Any tender sent to the contracting authority after this deadline will not be considered.</w:t>
      </w:r>
    </w:p>
    <w:p w14:paraId="62A66D1F" w14:textId="25B53879" w:rsidR="00CD09E8" w:rsidRDefault="00CD09E8" w:rsidP="00CD09E8">
      <w:pPr>
        <w:pStyle w:val="PRAGHeading2"/>
        <w:numPr>
          <w:ilvl w:val="0"/>
          <w:numId w:val="0"/>
        </w:numPr>
        <w:ind w:left="426"/>
        <w:jc w:val="both"/>
        <w:rPr>
          <w:rStyle w:val="Emphasis"/>
          <w:b/>
          <w:bCs/>
          <w:i w:val="0"/>
          <w:iCs/>
          <w:color w:val="FF0000"/>
          <w:sz w:val="22"/>
          <w:szCs w:val="22"/>
          <w:u w:val="single"/>
          <w:lang w:val="en-GB"/>
        </w:rPr>
      </w:pPr>
    </w:p>
    <w:p w14:paraId="33C05BB4" w14:textId="77777777" w:rsidR="00CD09E8" w:rsidRDefault="00CD09E8" w:rsidP="00CD09E8">
      <w:pPr>
        <w:pStyle w:val="PRAGHeading2"/>
        <w:ind w:left="426" w:hanging="426"/>
        <w:rPr>
          <w:rStyle w:val="Strong"/>
          <w:sz w:val="22"/>
          <w:szCs w:val="22"/>
          <w:lang w:val="en-GB"/>
        </w:rPr>
      </w:pPr>
      <w:r w:rsidRPr="00F26958">
        <w:rPr>
          <w:rStyle w:val="Strong"/>
          <w:sz w:val="22"/>
          <w:szCs w:val="22"/>
          <w:lang w:val="en-GB"/>
        </w:rPr>
        <w:t>Tender opening session</w:t>
      </w:r>
    </w:p>
    <w:p w14:paraId="758AE154" w14:textId="01DBDFB7" w:rsidR="00CD09E8" w:rsidRPr="00CD09E8" w:rsidRDefault="00CD09E8" w:rsidP="00CD09E8">
      <w:pPr>
        <w:pStyle w:val="PRAGHeading2"/>
        <w:numPr>
          <w:ilvl w:val="0"/>
          <w:numId w:val="0"/>
        </w:numPr>
        <w:rPr>
          <w:rStyle w:val="Strong"/>
          <w:b w:val="0"/>
          <w:bCs/>
          <w:sz w:val="22"/>
          <w:szCs w:val="22"/>
          <w:lang w:val="en-GB"/>
        </w:rPr>
      </w:pPr>
      <w:r w:rsidRPr="00131D52">
        <w:rPr>
          <w:rStyle w:val="Strong"/>
          <w:b w:val="0"/>
          <w:bCs/>
          <w:sz w:val="22"/>
          <w:szCs w:val="22"/>
          <w:lang w:val="en-GB"/>
        </w:rPr>
        <w:t>Date</w:t>
      </w:r>
      <w:r w:rsidRPr="0002196E">
        <w:rPr>
          <w:rStyle w:val="Strong"/>
          <w:b w:val="0"/>
          <w:bCs/>
          <w:sz w:val="22"/>
          <w:szCs w:val="22"/>
          <w:lang w:val="en-GB"/>
        </w:rPr>
        <w:t xml:space="preserve">: </w:t>
      </w:r>
      <w:r w:rsidR="00BB07BF">
        <w:rPr>
          <w:b/>
          <w:bCs/>
        </w:rPr>
        <w:t xml:space="preserve">12 </w:t>
      </w:r>
      <w:proofErr w:type="spellStart"/>
      <w:r w:rsidR="00BB07BF">
        <w:rPr>
          <w:b/>
          <w:bCs/>
        </w:rPr>
        <w:t>October</w:t>
      </w:r>
      <w:proofErr w:type="spellEnd"/>
      <w:r w:rsidRPr="00F63BFD">
        <w:rPr>
          <w:b/>
          <w:bCs/>
        </w:rPr>
        <w:t xml:space="preserve"> 202</w:t>
      </w:r>
      <w:r>
        <w:rPr>
          <w:b/>
          <w:bCs/>
        </w:rPr>
        <w:t>2</w:t>
      </w:r>
      <w:r w:rsidRPr="00131D52">
        <w:rPr>
          <w:rStyle w:val="Strong"/>
          <w:b w:val="0"/>
          <w:bCs/>
          <w:sz w:val="22"/>
          <w:szCs w:val="22"/>
          <w:u w:val="single"/>
          <w:lang w:val="en-GB"/>
        </w:rPr>
        <w:br/>
      </w:r>
      <w:r w:rsidRPr="00131D52">
        <w:rPr>
          <w:rStyle w:val="Strong"/>
          <w:b w:val="0"/>
          <w:bCs/>
          <w:sz w:val="22"/>
          <w:szCs w:val="22"/>
          <w:lang w:val="en-GB"/>
        </w:rPr>
        <w:t xml:space="preserve">Local time: </w:t>
      </w:r>
      <w:r w:rsidRPr="00BB07BF">
        <w:rPr>
          <w:b/>
          <w:bCs/>
        </w:rPr>
        <w:t xml:space="preserve">15:00 </w:t>
      </w:r>
      <w:proofErr w:type="spellStart"/>
      <w:r w:rsidRPr="00BB07BF">
        <w:rPr>
          <w:b/>
          <w:bCs/>
        </w:rPr>
        <w:t>hrs</w:t>
      </w:r>
      <w:proofErr w:type="spellEnd"/>
      <w:r w:rsidRPr="00BB07BF">
        <w:rPr>
          <w:b/>
          <w:bCs/>
        </w:rPr>
        <w:t xml:space="preserve"> local</w:t>
      </w:r>
      <w:r w:rsidRPr="00131D52">
        <w:rPr>
          <w:b/>
          <w:bCs/>
        </w:rPr>
        <w:t xml:space="preserve"> Georgian time</w:t>
      </w:r>
      <w:r w:rsidRPr="00131D52">
        <w:rPr>
          <w:rStyle w:val="Strong"/>
          <w:b w:val="0"/>
          <w:bCs/>
          <w:sz w:val="22"/>
          <w:szCs w:val="22"/>
          <w:u w:val="single"/>
          <w:lang w:val="en-GB"/>
        </w:rPr>
        <w:br/>
      </w:r>
      <w:r w:rsidRPr="00131D52">
        <w:rPr>
          <w:rStyle w:val="Strong"/>
          <w:b w:val="0"/>
          <w:bCs/>
          <w:sz w:val="22"/>
          <w:szCs w:val="22"/>
          <w:lang w:val="en-GB"/>
        </w:rPr>
        <w:t xml:space="preserve">Place: </w:t>
      </w:r>
      <w:r w:rsidRPr="00EE21CE">
        <w:rPr>
          <w:rStyle w:val="Strong"/>
          <w:bCs/>
          <w:sz w:val="22"/>
          <w:szCs w:val="22"/>
          <w:lang w:val="en-GB"/>
        </w:rPr>
        <w:t>Online tender Opening Session in MS Teams</w:t>
      </w:r>
      <w:r>
        <w:rPr>
          <w:rStyle w:val="Strong"/>
          <w:sz w:val="22"/>
          <w:szCs w:val="22"/>
          <w:lang w:val="en-GB"/>
        </w:rPr>
        <w:t xml:space="preserve">. </w:t>
      </w:r>
      <w:r w:rsidRPr="00CD09E8">
        <w:rPr>
          <w:rStyle w:val="Strong"/>
          <w:b w:val="0"/>
          <w:bCs/>
          <w:sz w:val="22"/>
          <w:szCs w:val="22"/>
          <w:lang w:val="en-GB"/>
        </w:rPr>
        <w:t>Those tenderers who will submit tenders, will receive invitation via email to the online tender opening session, however EUMM doesn’t take any responsibility if the tenderers experience any technical problem in attending the online tender opening session.</w:t>
      </w:r>
    </w:p>
    <w:p w14:paraId="713FE2BB" w14:textId="77777777" w:rsidR="00AE41D2" w:rsidRDefault="00AE41D2" w:rsidP="00CD09E8">
      <w:pPr>
        <w:pStyle w:val="PRAGHeading2"/>
        <w:numPr>
          <w:ilvl w:val="0"/>
          <w:numId w:val="0"/>
        </w:numPr>
        <w:rPr>
          <w:rStyle w:val="Strong"/>
          <w:sz w:val="22"/>
          <w:szCs w:val="22"/>
          <w:highlight w:val="lightGray"/>
          <w:lang w:val="en-GB"/>
        </w:rPr>
      </w:pPr>
    </w:p>
    <w:p w14:paraId="6D1CDB67" w14:textId="77777777" w:rsidR="00CD09E8" w:rsidRPr="008C70E4" w:rsidRDefault="00CD09E8" w:rsidP="00CD09E8">
      <w:pPr>
        <w:pStyle w:val="PRAGHeading2"/>
        <w:tabs>
          <w:tab w:val="clear" w:pos="567"/>
          <w:tab w:val="num" w:pos="426"/>
        </w:tabs>
        <w:ind w:hanging="567"/>
        <w:rPr>
          <w:rStyle w:val="Strong"/>
          <w:sz w:val="22"/>
          <w:szCs w:val="22"/>
          <w:lang w:val="en-GB"/>
        </w:rPr>
      </w:pPr>
      <w:r w:rsidRPr="008C70E4">
        <w:rPr>
          <w:rStyle w:val="Strong"/>
          <w:sz w:val="22"/>
          <w:szCs w:val="22"/>
          <w:lang w:val="en-GB"/>
        </w:rPr>
        <w:t>Clarifications on the contract notice</w:t>
      </w:r>
    </w:p>
    <w:p w14:paraId="0719E7C5" w14:textId="2AFDD34A" w:rsidR="00CD09E8" w:rsidRDefault="00CD09E8" w:rsidP="00CD09E8">
      <w:pPr>
        <w:pStyle w:val="PRAGHeading2"/>
        <w:numPr>
          <w:ilvl w:val="0"/>
          <w:numId w:val="0"/>
        </w:numPr>
        <w:ind w:left="426"/>
        <w:rPr>
          <w:sz w:val="22"/>
          <w:szCs w:val="22"/>
          <w:lang w:val="en-GB"/>
        </w:rPr>
      </w:pPr>
      <w:bookmarkStart w:id="10" w:name="_Hlk59636427"/>
      <w:r w:rsidRPr="008C70E4">
        <w:rPr>
          <w:sz w:val="22"/>
          <w:szCs w:val="22"/>
          <w:lang w:val="en-GB"/>
        </w:rPr>
        <w:t xml:space="preserve">Clarifications may be sought from the </w:t>
      </w:r>
      <w:r w:rsidRPr="00696EF0">
        <w:rPr>
          <w:sz w:val="22"/>
          <w:szCs w:val="22"/>
          <w:lang w:val="en-GB"/>
        </w:rPr>
        <w:t xml:space="preserve">contracting authority </w:t>
      </w:r>
      <w:bookmarkEnd w:id="10"/>
      <w:r w:rsidRPr="00696EF0">
        <w:rPr>
          <w:sz w:val="22"/>
          <w:szCs w:val="22"/>
          <w:lang w:val="en-GB"/>
        </w:rPr>
        <w:t xml:space="preserve">at the following email address    </w:t>
      </w:r>
      <w:hyperlink r:id="rId14" w:history="1">
        <w:r w:rsidRPr="00696EF0">
          <w:rPr>
            <w:rStyle w:val="Hyperlink"/>
            <w:sz w:val="22"/>
            <w:szCs w:val="22"/>
            <w:lang w:val="en-GB"/>
          </w:rPr>
          <w:t>tenders@eumm.eu</w:t>
        </w:r>
      </w:hyperlink>
      <w:r w:rsidRPr="00696EF0">
        <w:t xml:space="preserve"> (</w:t>
      </w:r>
      <w:proofErr w:type="spellStart"/>
      <w:r w:rsidRPr="004B06BE">
        <w:t>mentioning</w:t>
      </w:r>
      <w:proofErr w:type="spellEnd"/>
      <w:r w:rsidRPr="00696EF0">
        <w:t xml:space="preserve"> the publication </w:t>
      </w:r>
      <w:proofErr w:type="spellStart"/>
      <w:r w:rsidRPr="00696EF0">
        <w:t>reference</w:t>
      </w:r>
      <w:proofErr w:type="spellEnd"/>
      <w:r w:rsidRPr="00696EF0">
        <w:t xml:space="preserve"> </w:t>
      </w:r>
      <w:r w:rsidRPr="00696EF0">
        <w:rPr>
          <w:b/>
        </w:rPr>
        <w:t>EUMM-</w:t>
      </w:r>
      <w:r>
        <w:rPr>
          <w:b/>
        </w:rPr>
        <w:t>22-7942</w:t>
      </w:r>
      <w:r w:rsidRPr="00696EF0">
        <w:t xml:space="preserve">) </w:t>
      </w:r>
      <w:bookmarkStart w:id="11" w:name="_Hlk59636452"/>
      <w:r w:rsidRPr="00696EF0">
        <w:rPr>
          <w:sz w:val="22"/>
          <w:szCs w:val="22"/>
          <w:lang w:val="en-GB"/>
        </w:rPr>
        <w:t xml:space="preserve">at the latest </w:t>
      </w:r>
      <w:r>
        <w:rPr>
          <w:sz w:val="22"/>
          <w:szCs w:val="22"/>
          <w:lang w:val="en-GB"/>
        </w:rPr>
        <w:t>21</w:t>
      </w:r>
      <w:r w:rsidRPr="00696EF0">
        <w:rPr>
          <w:sz w:val="22"/>
          <w:szCs w:val="22"/>
          <w:lang w:val="en-GB"/>
        </w:rPr>
        <w:t xml:space="preserve"> days before the deadline for submission of </w:t>
      </w:r>
      <w:r w:rsidRPr="00035BED">
        <w:rPr>
          <w:sz w:val="22"/>
          <w:szCs w:val="22"/>
          <w:lang w:val="en-GB"/>
        </w:rPr>
        <w:t>tenders</w:t>
      </w:r>
      <w:bookmarkEnd w:id="11"/>
      <w:r>
        <w:rPr>
          <w:sz w:val="22"/>
          <w:szCs w:val="22"/>
          <w:lang w:val="en-GB"/>
        </w:rPr>
        <w:t xml:space="preserve">, </w:t>
      </w:r>
      <w:r w:rsidRPr="00696EF0">
        <w:rPr>
          <w:sz w:val="22"/>
          <w:szCs w:val="22"/>
          <w:lang w:val="en-GB"/>
        </w:rPr>
        <w:t xml:space="preserve">also stated at section </w:t>
      </w:r>
      <w:r w:rsidRPr="00696EF0">
        <w:rPr>
          <w:rStyle w:val="Strong"/>
          <w:sz w:val="22"/>
          <w:szCs w:val="22"/>
          <w:lang w:val="en-GB"/>
        </w:rPr>
        <w:t>IV.2.2) of the contract notice</w:t>
      </w:r>
      <w:r w:rsidRPr="00696EF0">
        <w:rPr>
          <w:sz w:val="22"/>
          <w:szCs w:val="22"/>
          <w:lang w:val="en-GB"/>
        </w:rPr>
        <w:t>.</w:t>
      </w:r>
    </w:p>
    <w:p w14:paraId="669F757B" w14:textId="30F25ABB" w:rsidR="00A314BE" w:rsidRPr="00790D6A" w:rsidRDefault="00FE04F2" w:rsidP="00A314BE">
      <w:pPr>
        <w:pStyle w:val="PRAGHeading2"/>
        <w:numPr>
          <w:ilvl w:val="0"/>
          <w:numId w:val="0"/>
        </w:numPr>
        <w:ind w:left="426"/>
        <w:rPr>
          <w:sz w:val="22"/>
          <w:szCs w:val="22"/>
          <w:lang w:val="en-GB"/>
        </w:rPr>
      </w:pPr>
      <w:r w:rsidRPr="00FE04F2">
        <w:rPr>
          <w:sz w:val="22"/>
          <w:szCs w:val="22"/>
          <w:lang w:val="en-GB"/>
        </w:rPr>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w:t>
      </w:r>
      <w:r>
        <w:rPr>
          <w:sz w:val="22"/>
          <w:szCs w:val="22"/>
          <w:lang w:val="en-GB"/>
        </w:rPr>
        <w:t xml:space="preserve"> </w:t>
      </w:r>
      <w:r w:rsidRPr="00FE04F2">
        <w:rPr>
          <w:sz w:val="22"/>
          <w:szCs w:val="22"/>
          <w:lang w:val="en-GB"/>
        </w:rPr>
        <w:t>(</w:t>
      </w:r>
      <w:hyperlink r:id="rId15" w:history="1">
        <w:r w:rsidRPr="008B04C6">
          <w:rPr>
            <w:rStyle w:val="Hyperlink"/>
            <w:sz w:val="22"/>
            <w:szCs w:val="22"/>
            <w:lang w:val="en-GB"/>
          </w:rPr>
          <w:t>https://www.eumm.eu/en/about_eumm/tenders</w:t>
        </w:r>
      </w:hyperlink>
      <w:r>
        <w:rPr>
          <w:sz w:val="22"/>
          <w:szCs w:val="22"/>
          <w:lang w:val="en-GB"/>
        </w:rPr>
        <w:t>)</w:t>
      </w:r>
      <w:r w:rsidRPr="00FE04F2">
        <w:rPr>
          <w:sz w:val="22"/>
          <w:szCs w:val="22"/>
          <w:lang w:val="en-GB"/>
        </w:rPr>
        <w:t>. The website will be updated regularly, and it is the tenderers responsibility to check for updates and modifications during the submission period.</w:t>
      </w:r>
    </w:p>
    <w:p w14:paraId="72C94E44" w14:textId="77777777" w:rsidR="00B122DD" w:rsidRPr="00790D6A" w:rsidRDefault="000507A8" w:rsidP="005B6500">
      <w:pPr>
        <w:pStyle w:val="PRAGHeading2"/>
        <w:ind w:left="426" w:hanging="426"/>
        <w:jc w:val="both"/>
        <w:rPr>
          <w:rStyle w:val="Strong"/>
          <w:sz w:val="22"/>
          <w:szCs w:val="22"/>
          <w:lang w:val="en-GB"/>
        </w:rPr>
      </w:pPr>
      <w:r w:rsidRPr="00790D6A">
        <w:rPr>
          <w:rStyle w:val="Strong"/>
          <w:sz w:val="22"/>
          <w:szCs w:val="22"/>
          <w:lang w:val="en-GB"/>
        </w:rPr>
        <w:t>O</w:t>
      </w:r>
      <w:r w:rsidR="00B122DD" w:rsidRPr="00790D6A">
        <w:rPr>
          <w:rStyle w:val="Strong"/>
          <w:sz w:val="22"/>
          <w:szCs w:val="22"/>
          <w:lang w:val="en-GB"/>
        </w:rPr>
        <w:t>utcome</w:t>
      </w:r>
      <w:r w:rsidRPr="00790D6A">
        <w:rPr>
          <w:rStyle w:val="Strong"/>
          <w:sz w:val="22"/>
          <w:szCs w:val="22"/>
          <w:lang w:val="en-GB"/>
        </w:rPr>
        <w:t xml:space="preserve"> of the evaluation</w:t>
      </w:r>
    </w:p>
    <w:p w14:paraId="2FCC89E7" w14:textId="74719904" w:rsidR="00B122DD" w:rsidRPr="00790D6A" w:rsidRDefault="00A314BE" w:rsidP="007B42F5">
      <w:pPr>
        <w:pStyle w:val="PRAGHeading2"/>
        <w:numPr>
          <w:ilvl w:val="0"/>
          <w:numId w:val="0"/>
        </w:numPr>
        <w:ind w:left="426"/>
        <w:jc w:val="both"/>
        <w:rPr>
          <w:sz w:val="22"/>
          <w:szCs w:val="22"/>
          <w:lang w:val="en-GB"/>
        </w:rPr>
      </w:pPr>
      <w:r w:rsidRPr="00790D6A">
        <w:rPr>
          <w:sz w:val="22"/>
          <w:szCs w:val="22"/>
          <w:lang w:val="en-GB"/>
        </w:rPr>
        <w:t>Tenderers</w:t>
      </w:r>
      <w:r w:rsidR="00B122DD" w:rsidRPr="00790D6A">
        <w:rPr>
          <w:sz w:val="22"/>
          <w:szCs w:val="22"/>
          <w:lang w:val="en-GB"/>
        </w:rPr>
        <w:t xml:space="preserve"> will be notified of the outcome of </w:t>
      </w:r>
      <w:r w:rsidR="00E42D34" w:rsidRPr="00790D6A">
        <w:rPr>
          <w:sz w:val="22"/>
          <w:szCs w:val="22"/>
          <w:lang w:val="en-GB"/>
        </w:rPr>
        <w:t xml:space="preserve">the </w:t>
      </w:r>
      <w:r w:rsidR="00B122DD" w:rsidRPr="00790D6A">
        <w:rPr>
          <w:sz w:val="22"/>
          <w:szCs w:val="22"/>
          <w:lang w:val="en-GB"/>
        </w:rPr>
        <w:t xml:space="preserve">evaluation </w:t>
      </w:r>
      <w:r w:rsidRPr="00790D6A">
        <w:rPr>
          <w:sz w:val="22"/>
          <w:szCs w:val="22"/>
          <w:lang w:val="en-GB"/>
        </w:rPr>
        <w:t>of the tender procedure</w:t>
      </w:r>
      <w:r w:rsidR="00B122DD" w:rsidRPr="00790D6A">
        <w:rPr>
          <w:sz w:val="22"/>
          <w:szCs w:val="22"/>
          <w:lang w:val="en-GB"/>
        </w:rPr>
        <w:t xml:space="preserve"> by e-mail. The notification will be sent to the e-mail address provided in </w:t>
      </w:r>
      <w:r w:rsidRPr="00790D6A">
        <w:rPr>
          <w:sz w:val="22"/>
          <w:szCs w:val="22"/>
          <w:lang w:val="en-GB"/>
        </w:rPr>
        <w:t>the tender submission form of the tenderer</w:t>
      </w:r>
      <w:r w:rsidR="00B122DD" w:rsidRPr="00790D6A">
        <w:rPr>
          <w:sz w:val="22"/>
          <w:szCs w:val="22"/>
          <w:lang w:val="en-GB"/>
        </w:rPr>
        <w:t xml:space="preserve"> (leader in case of</w:t>
      </w:r>
      <w:r w:rsidR="00157612" w:rsidRPr="00790D6A">
        <w:rPr>
          <w:sz w:val="22"/>
          <w:szCs w:val="22"/>
          <w:lang w:val="en-GB"/>
        </w:rPr>
        <w:t xml:space="preserve"> consortium</w:t>
      </w:r>
      <w:r w:rsidR="00790D6A">
        <w:rPr>
          <w:sz w:val="22"/>
          <w:szCs w:val="22"/>
          <w:lang w:val="en-GB"/>
        </w:rPr>
        <w:t>)</w:t>
      </w:r>
      <w:r w:rsidR="00B122DD" w:rsidRPr="00790D6A">
        <w:rPr>
          <w:sz w:val="22"/>
          <w:szCs w:val="22"/>
          <w:lang w:val="en-GB"/>
        </w:rPr>
        <w:t xml:space="preserve">. </w:t>
      </w:r>
    </w:p>
    <w:p w14:paraId="54D33EDB" w14:textId="77777777" w:rsidR="00B122DD" w:rsidRPr="00790D6A" w:rsidRDefault="00B122DD" w:rsidP="007B42F5">
      <w:pPr>
        <w:pStyle w:val="PRAGHeading2"/>
        <w:numPr>
          <w:ilvl w:val="0"/>
          <w:numId w:val="0"/>
        </w:numPr>
        <w:ind w:left="426"/>
        <w:jc w:val="both"/>
        <w:rPr>
          <w:sz w:val="22"/>
          <w:szCs w:val="22"/>
          <w:lang w:val="en-GB"/>
        </w:rPr>
      </w:pPr>
      <w:r w:rsidRPr="00790D6A">
        <w:rPr>
          <w:sz w:val="22"/>
          <w:szCs w:val="22"/>
          <w:lang w:val="en-GB"/>
        </w:rPr>
        <w:t xml:space="preserve">The same e-mail address will be used by the contracting authority for all other communications during the procedure. </w:t>
      </w:r>
    </w:p>
    <w:p w14:paraId="471F2C87" w14:textId="758D8B92" w:rsidR="00B122DD" w:rsidRPr="00790D6A" w:rsidRDefault="00B122DD" w:rsidP="007B42F5">
      <w:pPr>
        <w:pStyle w:val="PRAGHeading2"/>
        <w:numPr>
          <w:ilvl w:val="0"/>
          <w:numId w:val="0"/>
        </w:numPr>
        <w:ind w:left="426"/>
        <w:jc w:val="both"/>
        <w:rPr>
          <w:sz w:val="22"/>
          <w:szCs w:val="22"/>
          <w:lang w:val="en-GB"/>
        </w:rPr>
      </w:pPr>
      <w:r w:rsidRPr="00790D6A">
        <w:rPr>
          <w:sz w:val="22"/>
          <w:szCs w:val="22"/>
          <w:lang w:val="en-GB"/>
        </w:rPr>
        <w:t>It is the candidate's responsibility to provide a valid e-mail address and to check it regularly.</w:t>
      </w:r>
    </w:p>
    <w:p w14:paraId="11FC1023" w14:textId="27BCC2F4" w:rsidR="00B122DD" w:rsidRPr="00790D6A" w:rsidRDefault="000507A8" w:rsidP="007B42F5">
      <w:pPr>
        <w:pStyle w:val="PRAGHeading2"/>
        <w:numPr>
          <w:ilvl w:val="0"/>
          <w:numId w:val="0"/>
        </w:numPr>
        <w:ind w:left="426"/>
        <w:jc w:val="both"/>
        <w:rPr>
          <w:rStyle w:val="Strong"/>
          <w:sz w:val="22"/>
          <w:szCs w:val="22"/>
          <w:lang w:val="en-GB"/>
        </w:rPr>
      </w:pPr>
      <w:r w:rsidRPr="00790D6A">
        <w:rPr>
          <w:sz w:val="22"/>
          <w:szCs w:val="22"/>
          <w:lang w:val="en-GB"/>
        </w:rPr>
        <w:t xml:space="preserve">By submitting a </w:t>
      </w:r>
      <w:r w:rsidR="00790D6A" w:rsidRPr="00790D6A">
        <w:rPr>
          <w:sz w:val="22"/>
          <w:szCs w:val="22"/>
          <w:lang w:val="en-GB"/>
        </w:rPr>
        <w:t>tender, tenderers</w:t>
      </w:r>
      <w:r w:rsidRPr="00790D6A">
        <w:rPr>
          <w:sz w:val="22"/>
          <w:szCs w:val="22"/>
          <w:lang w:val="en-GB"/>
        </w:rPr>
        <w:t xml:space="preserve"> accept to receive notification of the outcome of the procedure by electronic means. Such notification shall be deemed to have been received on the date upon which the contracting authority sends it to the electronic address referred to in the </w:t>
      </w:r>
      <w:r w:rsidR="00790D6A" w:rsidRPr="00790D6A">
        <w:rPr>
          <w:sz w:val="22"/>
          <w:szCs w:val="22"/>
          <w:lang w:val="en-GB"/>
        </w:rPr>
        <w:t>tender submission form</w:t>
      </w:r>
      <w:r w:rsidRPr="00790D6A">
        <w:rPr>
          <w:sz w:val="22"/>
          <w:szCs w:val="22"/>
          <w:lang w:val="en-GB"/>
        </w:rPr>
        <w:t>.</w:t>
      </w:r>
    </w:p>
    <w:p w14:paraId="62B00841" w14:textId="77777777" w:rsidR="00790D6A" w:rsidRPr="008C70E4" w:rsidRDefault="00790D6A" w:rsidP="00790D6A">
      <w:pPr>
        <w:pStyle w:val="PRAGHeading2"/>
        <w:ind w:left="426" w:hanging="426"/>
        <w:jc w:val="both"/>
        <w:rPr>
          <w:rStyle w:val="Strong"/>
          <w:sz w:val="22"/>
          <w:szCs w:val="22"/>
          <w:lang w:val="en-GB"/>
        </w:rPr>
      </w:pPr>
      <w:r w:rsidRPr="008C70E4">
        <w:rPr>
          <w:rStyle w:val="Strong"/>
          <w:sz w:val="22"/>
          <w:szCs w:val="22"/>
          <w:lang w:val="en-GB"/>
        </w:rPr>
        <w:t>Alteration or withdrawal of</w:t>
      </w:r>
      <w:r>
        <w:rPr>
          <w:rStyle w:val="Strong"/>
          <w:sz w:val="22"/>
          <w:szCs w:val="22"/>
          <w:lang w:val="en-GB"/>
        </w:rPr>
        <w:t xml:space="preserve"> tenders</w:t>
      </w:r>
    </w:p>
    <w:p w14:paraId="16399AB1" w14:textId="77777777" w:rsidR="00790D6A" w:rsidRPr="008C70E4" w:rsidRDefault="00790D6A" w:rsidP="00790D6A">
      <w:pPr>
        <w:ind w:left="426"/>
        <w:jc w:val="both"/>
        <w:rPr>
          <w:sz w:val="22"/>
          <w:szCs w:val="22"/>
        </w:rPr>
      </w:pPr>
      <w:r w:rsidRPr="008C70E4">
        <w:rPr>
          <w:sz w:val="22"/>
          <w:szCs w:val="22"/>
        </w:rPr>
        <w:t xml:space="preserve">Tenderers may alter or withdraw their tenders by written notification prior to the deadline for submission of tenders. No tenders may be altered after this deadline. </w:t>
      </w:r>
    </w:p>
    <w:p w14:paraId="3AF037D7" w14:textId="77777777" w:rsidR="00790D6A" w:rsidRDefault="00790D6A" w:rsidP="00790D6A">
      <w:pPr>
        <w:ind w:left="426"/>
        <w:jc w:val="both"/>
        <w:rPr>
          <w:sz w:val="22"/>
          <w:szCs w:val="22"/>
        </w:rPr>
      </w:pPr>
      <w:r w:rsidRPr="008C70E4">
        <w:rPr>
          <w:sz w:val="22"/>
          <w:szCs w:val="22"/>
        </w:rPr>
        <w:t xml:space="preserve">Any such notification of alteration or withdrawal shall be prepared and submitted in accordance with precedent item. </w:t>
      </w:r>
      <w:r w:rsidRPr="001E5E80">
        <w:rPr>
          <w:sz w:val="22"/>
          <w:szCs w:val="22"/>
        </w:rPr>
        <w:t>The email for the ‘Amendment’ or ‘Withdrawal’ must be marked ‘Amendment’ or ‘Withdrawal’ as appropriate</w:t>
      </w:r>
      <w:r w:rsidRPr="008C70E4">
        <w:rPr>
          <w:sz w:val="22"/>
          <w:szCs w:val="22"/>
        </w:rPr>
        <w:t>.</w:t>
      </w:r>
      <w:r w:rsidRPr="00214A9F">
        <w:rPr>
          <w:sz w:val="22"/>
          <w:szCs w:val="22"/>
        </w:rPr>
        <w:t xml:space="preserve"> </w:t>
      </w:r>
    </w:p>
    <w:p w14:paraId="52806DA6" w14:textId="77777777" w:rsidR="00790D6A" w:rsidRPr="00573723" w:rsidRDefault="00790D6A" w:rsidP="00790D6A">
      <w:pPr>
        <w:pStyle w:val="PRAGHeading2"/>
        <w:ind w:left="426" w:hanging="426"/>
        <w:rPr>
          <w:rStyle w:val="Strong"/>
          <w:sz w:val="22"/>
          <w:szCs w:val="22"/>
          <w:lang w:val="en-GB"/>
        </w:rPr>
      </w:pPr>
      <w:r w:rsidRPr="00573723">
        <w:rPr>
          <w:rStyle w:val="Strong"/>
          <w:sz w:val="22"/>
          <w:szCs w:val="22"/>
          <w:lang w:val="en-GB"/>
        </w:rPr>
        <w:t>Language of the procedure</w:t>
      </w:r>
    </w:p>
    <w:p w14:paraId="23FB6115" w14:textId="77777777" w:rsidR="00790D6A" w:rsidRDefault="00790D6A" w:rsidP="00790D6A">
      <w:pPr>
        <w:ind w:left="426"/>
        <w:jc w:val="both"/>
        <w:rPr>
          <w:sz w:val="22"/>
          <w:szCs w:val="22"/>
        </w:rPr>
      </w:pPr>
      <w:r w:rsidRPr="00214A9F">
        <w:rPr>
          <w:sz w:val="22"/>
          <w:szCs w:val="22"/>
        </w:rPr>
        <w:t xml:space="preserve">All written communications for this tender procedure and contract must be in English. </w:t>
      </w:r>
    </w:p>
    <w:p w14:paraId="0BFC091E" w14:textId="0A1F6DDD" w:rsidR="00790D6A" w:rsidRPr="00EA0609" w:rsidRDefault="00790D6A" w:rsidP="00790D6A">
      <w:pPr>
        <w:ind w:left="426" w:hanging="426"/>
        <w:rPr>
          <w:b/>
          <w:sz w:val="22"/>
          <w:szCs w:val="22"/>
        </w:rPr>
      </w:pPr>
      <w:r>
        <w:rPr>
          <w:b/>
          <w:sz w:val="22"/>
          <w:szCs w:val="22"/>
        </w:rPr>
        <w:t>2</w:t>
      </w:r>
      <w:r w:rsidR="00981FE5">
        <w:rPr>
          <w:b/>
          <w:sz w:val="22"/>
          <w:szCs w:val="22"/>
        </w:rPr>
        <w:t>1</w:t>
      </w:r>
      <w:r>
        <w:rPr>
          <w:b/>
          <w:sz w:val="22"/>
          <w:szCs w:val="22"/>
        </w:rPr>
        <w:t>.</w:t>
      </w:r>
      <w:r>
        <w:rPr>
          <w:b/>
          <w:sz w:val="22"/>
          <w:szCs w:val="22"/>
        </w:rPr>
        <w:tab/>
      </w:r>
      <w:r w:rsidRPr="00EA0609">
        <w:rPr>
          <w:b/>
          <w:sz w:val="22"/>
          <w:szCs w:val="22"/>
        </w:rPr>
        <w:t xml:space="preserve">Additional </w:t>
      </w:r>
      <w:r>
        <w:rPr>
          <w:b/>
          <w:sz w:val="22"/>
          <w:szCs w:val="22"/>
        </w:rPr>
        <w:t>i</w:t>
      </w:r>
      <w:r w:rsidRPr="00EA0609">
        <w:rPr>
          <w:b/>
          <w:sz w:val="22"/>
          <w:szCs w:val="22"/>
        </w:rPr>
        <w:t>nformation</w:t>
      </w:r>
    </w:p>
    <w:p w14:paraId="5EF66D69" w14:textId="77777777" w:rsidR="00790D6A" w:rsidRPr="00BD4632" w:rsidRDefault="00790D6A" w:rsidP="00790D6A">
      <w:pPr>
        <w:widowControl/>
        <w:snapToGrid w:val="0"/>
        <w:spacing w:after="0"/>
        <w:ind w:left="644" w:right="360"/>
        <w:jc w:val="both"/>
        <w:rPr>
          <w:sz w:val="22"/>
          <w:szCs w:val="22"/>
        </w:rPr>
      </w:pPr>
      <w:r w:rsidRPr="00BD4632">
        <w:rPr>
          <w:sz w:val="22"/>
          <w:szCs w:val="22"/>
        </w:rPr>
        <w:t xml:space="preserve">Financial data to be provided by the tenderer in the standard tender form must be expressed in EUR. If applicable, where a tenderer refers to amounts originally expressed in a different </w:t>
      </w:r>
      <w:r w:rsidRPr="00BD4632">
        <w:rPr>
          <w:sz w:val="22"/>
          <w:szCs w:val="22"/>
        </w:rPr>
        <w:lastRenderedPageBreak/>
        <w:t xml:space="preserve">currency, the conversion to EUR shall be made in accordance with the </w:t>
      </w:r>
      <w:proofErr w:type="spellStart"/>
      <w:r w:rsidRPr="00BD4632">
        <w:rPr>
          <w:sz w:val="22"/>
          <w:szCs w:val="22"/>
        </w:rPr>
        <w:t>InforEuro</w:t>
      </w:r>
      <w:proofErr w:type="spellEnd"/>
      <w:r w:rsidRPr="00BD4632">
        <w:rPr>
          <w:sz w:val="22"/>
          <w:szCs w:val="22"/>
        </w:rPr>
        <w:t xml:space="preserve"> exchange rate of </w:t>
      </w:r>
      <w:r w:rsidRPr="00BD4632">
        <w:rPr>
          <w:b/>
          <w:sz w:val="22"/>
          <w:szCs w:val="22"/>
        </w:rPr>
        <w:t xml:space="preserve">MONTH and YEAR </w:t>
      </w:r>
      <w:r w:rsidRPr="00BD4632">
        <w:rPr>
          <w:sz w:val="22"/>
          <w:szCs w:val="22"/>
        </w:rPr>
        <w:t xml:space="preserve">of the applicable </w:t>
      </w:r>
      <w:proofErr w:type="spellStart"/>
      <w:r w:rsidRPr="00BD4632">
        <w:rPr>
          <w:sz w:val="22"/>
          <w:szCs w:val="22"/>
        </w:rPr>
        <w:t>InforEuro</w:t>
      </w:r>
      <w:proofErr w:type="spellEnd"/>
      <w:r w:rsidRPr="00BD4632">
        <w:rPr>
          <w:sz w:val="22"/>
          <w:szCs w:val="22"/>
        </w:rPr>
        <w:t xml:space="preserve"> exchange rate, which can either correspond to the month and year of the publication of the present contract notice or the month and year corresponding to the deadline for submitting applications, which can be found at the following address: </w:t>
      </w:r>
      <w:hyperlink r:id="rId16" w:history="1">
        <w:r w:rsidRPr="00BD4632">
          <w:rPr>
            <w:rStyle w:val="Hyperlink"/>
            <w:sz w:val="22"/>
            <w:szCs w:val="22"/>
          </w:rPr>
          <w:t>http://ec.europa.eu/budget/graphs/inforeuro.html</w:t>
        </w:r>
      </w:hyperlink>
      <w:r w:rsidRPr="00BD4632">
        <w:rPr>
          <w:sz w:val="22"/>
          <w:szCs w:val="22"/>
        </w:rPr>
        <w:t>.</w:t>
      </w:r>
    </w:p>
    <w:p w14:paraId="2ED037BE" w14:textId="77777777" w:rsidR="00790D6A" w:rsidRDefault="00790D6A" w:rsidP="00790D6A">
      <w:pPr>
        <w:widowControl/>
        <w:snapToGrid w:val="0"/>
        <w:spacing w:after="0"/>
        <w:ind w:left="426" w:right="360"/>
        <w:jc w:val="both"/>
        <w:rPr>
          <w:sz w:val="22"/>
          <w:szCs w:val="22"/>
        </w:rPr>
      </w:pPr>
    </w:p>
    <w:p w14:paraId="04F74014" w14:textId="77777777" w:rsidR="00790D6A" w:rsidRDefault="00790D6A" w:rsidP="00790D6A">
      <w:pPr>
        <w:widowControl/>
        <w:snapToGrid w:val="0"/>
        <w:spacing w:after="0"/>
        <w:ind w:left="426" w:right="360"/>
        <w:jc w:val="both"/>
        <w:rPr>
          <w:sz w:val="22"/>
          <w:szCs w:val="22"/>
        </w:rPr>
      </w:pPr>
    </w:p>
    <w:p w14:paraId="249A3C30" w14:textId="4EF6EB8C" w:rsidR="00796AC9" w:rsidRDefault="00796AC9" w:rsidP="00790D6A">
      <w:pPr>
        <w:jc w:val="both"/>
        <w:rPr>
          <w:sz w:val="22"/>
          <w:szCs w:val="22"/>
          <w:highlight w:val="lightGray"/>
          <w:lang w:val="en-GB"/>
        </w:rPr>
      </w:pPr>
    </w:p>
    <w:p w14:paraId="1B2AE3E9" w14:textId="77777777" w:rsidR="00944873" w:rsidRPr="007B42F5" w:rsidRDefault="00944873" w:rsidP="00FA24DB">
      <w:pPr>
        <w:pStyle w:val="Blockquote"/>
        <w:ind w:right="0"/>
        <w:jc w:val="both"/>
        <w:rPr>
          <w:sz w:val="22"/>
          <w:szCs w:val="22"/>
          <w:highlight w:val="lightGray"/>
        </w:rPr>
      </w:pPr>
    </w:p>
    <w:p w14:paraId="04F91FF2" w14:textId="000EFFED" w:rsidR="00EA0609" w:rsidRPr="00EA0609" w:rsidRDefault="005B6500" w:rsidP="007B42F5">
      <w:pPr>
        <w:ind w:left="426" w:hanging="426"/>
        <w:rPr>
          <w:i/>
          <w:lang w:val="en-GB"/>
        </w:rPr>
      </w:pPr>
      <w:r>
        <w:rPr>
          <w:b/>
          <w:sz w:val="22"/>
          <w:szCs w:val="22"/>
          <w:lang w:val="en-GB"/>
        </w:rPr>
        <w:tab/>
      </w:r>
    </w:p>
    <w:sectPr w:rsidR="00EA0609" w:rsidRPr="00EA0609">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5C918" w14:textId="77777777" w:rsidR="005936B3" w:rsidRDefault="005936B3" w:rsidP="000A4362">
      <w:pPr>
        <w:spacing w:before="0" w:after="0"/>
      </w:pPr>
      <w:r>
        <w:separator/>
      </w:r>
    </w:p>
  </w:endnote>
  <w:endnote w:type="continuationSeparator" w:id="0">
    <w:p w14:paraId="3A72CE98" w14:textId="77777777" w:rsidR="005936B3" w:rsidRDefault="005936B3"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E2F6B" w14:textId="77777777" w:rsidR="005936B3" w:rsidRDefault="005936B3" w:rsidP="000A4362">
      <w:pPr>
        <w:spacing w:before="0" w:after="0"/>
      </w:pPr>
      <w:r>
        <w:separator/>
      </w:r>
    </w:p>
  </w:footnote>
  <w:footnote w:type="continuationSeparator" w:id="0">
    <w:p w14:paraId="075A2103" w14:textId="77777777" w:rsidR="005936B3" w:rsidRDefault="005936B3" w:rsidP="000A4362">
      <w:pPr>
        <w:spacing w:before="0" w:after="0"/>
      </w:pPr>
      <w:r>
        <w:continuationSeparator/>
      </w:r>
    </w:p>
  </w:footnote>
  <w:footnote w:id="1">
    <w:p w14:paraId="459DE9DD" w14:textId="24315108" w:rsidR="00685B0D" w:rsidRPr="008F176B" w:rsidRDefault="00685B0D" w:rsidP="00685B0D">
      <w:pPr>
        <w:pStyle w:val="FootnoteText"/>
      </w:pPr>
      <w:r w:rsidRPr="008F176B">
        <w:rPr>
          <w:rStyle w:val="FootnoteReference"/>
        </w:rPr>
        <w:footnoteRef/>
      </w:r>
      <w:r>
        <w:t xml:space="preserve"> [(</w:t>
      </w:r>
      <w:r w:rsidRPr="0062013F">
        <w:t>Turnover 20</w:t>
      </w:r>
      <w:r>
        <w:t>19</w:t>
      </w:r>
      <w:r w:rsidRPr="0062013F">
        <w:t xml:space="preserve"> + Turnover 20</w:t>
      </w:r>
      <w:r>
        <w:t>20</w:t>
      </w:r>
      <w:r w:rsidRPr="0062013F">
        <w:t xml:space="preserve"> + Turnover 202</w:t>
      </w:r>
      <w:r>
        <w:t>1</w:t>
      </w:r>
      <w:r w:rsidRPr="0062013F">
        <w:t xml:space="preserve">) / 3] ≥ </w:t>
      </w:r>
      <w:r w:rsidRPr="0062013F">
        <w:rPr>
          <w:b/>
          <w:sz w:val="22"/>
          <w:szCs w:val="22"/>
        </w:rPr>
        <w:t>1</w:t>
      </w:r>
      <w:r>
        <w:rPr>
          <w:b/>
          <w:sz w:val="22"/>
          <w:szCs w:val="22"/>
        </w:rPr>
        <w:t>00</w:t>
      </w:r>
      <w:r w:rsidRPr="0062013F">
        <w:rPr>
          <w:b/>
          <w:sz w:val="22"/>
          <w:szCs w:val="22"/>
        </w:rPr>
        <w:t>,000.00</w:t>
      </w:r>
      <w:r>
        <w:rPr>
          <w:b/>
          <w:sz w:val="22"/>
          <w:szCs w:val="22"/>
        </w:rPr>
        <w:t xml:space="preserve"> </w:t>
      </w:r>
      <w:r w:rsidRPr="0062013F">
        <w:rPr>
          <w:b/>
          <w:sz w:val="22"/>
          <w:szCs w:val="22"/>
        </w:rPr>
        <w:t>EUR</w:t>
      </w:r>
      <w:r w:rsidRPr="008F176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A169D9"/>
    <w:multiLevelType w:val="hybridMultilevel"/>
    <w:tmpl w:val="42564E56"/>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650" w:hanging="360"/>
      </w:pPr>
      <w:rPr>
        <w:rFonts w:ascii="Courier New" w:hAnsi="Courier New" w:cs="Courier New" w:hint="default"/>
      </w:rPr>
    </w:lvl>
    <w:lvl w:ilvl="2" w:tplc="08090005" w:tentative="1">
      <w:start w:val="1"/>
      <w:numFmt w:val="bullet"/>
      <w:lvlText w:val=""/>
      <w:lvlJc w:val="left"/>
      <w:pPr>
        <w:ind w:left="3370" w:hanging="360"/>
      </w:pPr>
      <w:rPr>
        <w:rFonts w:ascii="Wingdings" w:hAnsi="Wingdings" w:hint="default"/>
      </w:rPr>
    </w:lvl>
    <w:lvl w:ilvl="3" w:tplc="08090001" w:tentative="1">
      <w:start w:val="1"/>
      <w:numFmt w:val="bullet"/>
      <w:lvlText w:val=""/>
      <w:lvlJc w:val="left"/>
      <w:pPr>
        <w:ind w:left="4090" w:hanging="360"/>
      </w:pPr>
      <w:rPr>
        <w:rFonts w:ascii="Symbol" w:hAnsi="Symbol" w:hint="default"/>
      </w:rPr>
    </w:lvl>
    <w:lvl w:ilvl="4" w:tplc="08090003" w:tentative="1">
      <w:start w:val="1"/>
      <w:numFmt w:val="bullet"/>
      <w:lvlText w:val="o"/>
      <w:lvlJc w:val="left"/>
      <w:pPr>
        <w:ind w:left="4810" w:hanging="360"/>
      </w:pPr>
      <w:rPr>
        <w:rFonts w:ascii="Courier New" w:hAnsi="Courier New" w:cs="Courier New" w:hint="default"/>
      </w:rPr>
    </w:lvl>
    <w:lvl w:ilvl="5" w:tplc="08090005" w:tentative="1">
      <w:start w:val="1"/>
      <w:numFmt w:val="bullet"/>
      <w:lvlText w:val=""/>
      <w:lvlJc w:val="left"/>
      <w:pPr>
        <w:ind w:left="5530" w:hanging="360"/>
      </w:pPr>
      <w:rPr>
        <w:rFonts w:ascii="Wingdings" w:hAnsi="Wingdings" w:hint="default"/>
      </w:rPr>
    </w:lvl>
    <w:lvl w:ilvl="6" w:tplc="08090001" w:tentative="1">
      <w:start w:val="1"/>
      <w:numFmt w:val="bullet"/>
      <w:lvlText w:val=""/>
      <w:lvlJc w:val="left"/>
      <w:pPr>
        <w:ind w:left="6250" w:hanging="360"/>
      </w:pPr>
      <w:rPr>
        <w:rFonts w:ascii="Symbol" w:hAnsi="Symbol" w:hint="default"/>
      </w:rPr>
    </w:lvl>
    <w:lvl w:ilvl="7" w:tplc="08090003" w:tentative="1">
      <w:start w:val="1"/>
      <w:numFmt w:val="bullet"/>
      <w:lvlText w:val="o"/>
      <w:lvlJc w:val="left"/>
      <w:pPr>
        <w:ind w:left="6970" w:hanging="360"/>
      </w:pPr>
      <w:rPr>
        <w:rFonts w:ascii="Courier New" w:hAnsi="Courier New" w:cs="Courier New" w:hint="default"/>
      </w:rPr>
    </w:lvl>
    <w:lvl w:ilvl="8" w:tplc="08090005" w:tentative="1">
      <w:start w:val="1"/>
      <w:numFmt w:val="bullet"/>
      <w:lvlText w:val=""/>
      <w:lvlJc w:val="left"/>
      <w:pPr>
        <w:ind w:left="7690" w:hanging="360"/>
      </w:pPr>
      <w:rPr>
        <w:rFonts w:ascii="Wingdings" w:hAnsi="Wingding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30F6154"/>
    <w:multiLevelType w:val="hybridMultilevel"/>
    <w:tmpl w:val="9CFE4E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5"/>
  </w:num>
  <w:num w:numId="4">
    <w:abstractNumId w:val="12"/>
  </w:num>
  <w:num w:numId="5">
    <w:abstractNumId w:val="10"/>
  </w:num>
  <w:num w:numId="6">
    <w:abstractNumId w:val="18"/>
  </w:num>
  <w:num w:numId="7">
    <w:abstractNumId w:val="4"/>
  </w:num>
  <w:num w:numId="8">
    <w:abstractNumId w:val="6"/>
  </w:num>
  <w:num w:numId="9">
    <w:abstractNumId w:val="19"/>
  </w:num>
  <w:num w:numId="10">
    <w:abstractNumId w:val="17"/>
  </w:num>
  <w:num w:numId="11">
    <w:abstractNumId w:val="11"/>
  </w:num>
  <w:num w:numId="12">
    <w:abstractNumId w:val="4"/>
  </w:num>
  <w:num w:numId="13">
    <w:abstractNumId w:val="20"/>
  </w:num>
  <w:num w:numId="14">
    <w:abstractNumId w:val="4"/>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6"/>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5"/>
  </w:num>
  <w:num w:numId="22">
    <w:abstractNumId w:val="8"/>
  </w:num>
  <w:num w:numId="23">
    <w:abstractNumId w:val="1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18CE"/>
    <w:rsid w:val="000C38BA"/>
    <w:rsid w:val="000C49BB"/>
    <w:rsid w:val="000C71C6"/>
    <w:rsid w:val="000D06E1"/>
    <w:rsid w:val="000D53E3"/>
    <w:rsid w:val="000E2749"/>
    <w:rsid w:val="000E32AA"/>
    <w:rsid w:val="000F0339"/>
    <w:rsid w:val="000F254D"/>
    <w:rsid w:val="000F3E10"/>
    <w:rsid w:val="00100AF9"/>
    <w:rsid w:val="00101991"/>
    <w:rsid w:val="00101F2E"/>
    <w:rsid w:val="00102D0D"/>
    <w:rsid w:val="00103538"/>
    <w:rsid w:val="0010374C"/>
    <w:rsid w:val="00104CCC"/>
    <w:rsid w:val="00106F55"/>
    <w:rsid w:val="00114E7D"/>
    <w:rsid w:val="00116ED7"/>
    <w:rsid w:val="00120DC2"/>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A637D"/>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1D58"/>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86CF5"/>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23D6"/>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4E6"/>
    <w:rsid w:val="004B26C1"/>
    <w:rsid w:val="004C05B2"/>
    <w:rsid w:val="004C2082"/>
    <w:rsid w:val="004C39EE"/>
    <w:rsid w:val="004D2C96"/>
    <w:rsid w:val="004E1551"/>
    <w:rsid w:val="004E1930"/>
    <w:rsid w:val="004F27F5"/>
    <w:rsid w:val="004F48AA"/>
    <w:rsid w:val="004F7108"/>
    <w:rsid w:val="00502E0C"/>
    <w:rsid w:val="005220DC"/>
    <w:rsid w:val="00522C0C"/>
    <w:rsid w:val="00525840"/>
    <w:rsid w:val="005365BF"/>
    <w:rsid w:val="005407B9"/>
    <w:rsid w:val="00547FDA"/>
    <w:rsid w:val="005526AA"/>
    <w:rsid w:val="005534B9"/>
    <w:rsid w:val="00556E61"/>
    <w:rsid w:val="00561BC4"/>
    <w:rsid w:val="00564495"/>
    <w:rsid w:val="005663CA"/>
    <w:rsid w:val="00566485"/>
    <w:rsid w:val="00567635"/>
    <w:rsid w:val="00567D11"/>
    <w:rsid w:val="00571A51"/>
    <w:rsid w:val="00574013"/>
    <w:rsid w:val="0057553C"/>
    <w:rsid w:val="00580EED"/>
    <w:rsid w:val="0058609B"/>
    <w:rsid w:val="00590680"/>
    <w:rsid w:val="005936B3"/>
    <w:rsid w:val="005A0A93"/>
    <w:rsid w:val="005B412A"/>
    <w:rsid w:val="005B6500"/>
    <w:rsid w:val="005B674F"/>
    <w:rsid w:val="005C4AFB"/>
    <w:rsid w:val="005C6B75"/>
    <w:rsid w:val="005D0163"/>
    <w:rsid w:val="005D1F68"/>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5B0D"/>
    <w:rsid w:val="00686414"/>
    <w:rsid w:val="006A0BB1"/>
    <w:rsid w:val="006A1D7C"/>
    <w:rsid w:val="006A32FA"/>
    <w:rsid w:val="006A6D08"/>
    <w:rsid w:val="006B08DC"/>
    <w:rsid w:val="006B53D1"/>
    <w:rsid w:val="006B6683"/>
    <w:rsid w:val="006C2E49"/>
    <w:rsid w:val="006C646F"/>
    <w:rsid w:val="006D316A"/>
    <w:rsid w:val="006E3521"/>
    <w:rsid w:val="006F194D"/>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0D6A"/>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2890"/>
    <w:rsid w:val="00826DC5"/>
    <w:rsid w:val="008321A0"/>
    <w:rsid w:val="0083255E"/>
    <w:rsid w:val="00834802"/>
    <w:rsid w:val="00836307"/>
    <w:rsid w:val="00845D58"/>
    <w:rsid w:val="00846A72"/>
    <w:rsid w:val="00847954"/>
    <w:rsid w:val="0085117D"/>
    <w:rsid w:val="0086031A"/>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E2F8D"/>
    <w:rsid w:val="008E579B"/>
    <w:rsid w:val="008F3096"/>
    <w:rsid w:val="00904189"/>
    <w:rsid w:val="009041DF"/>
    <w:rsid w:val="00910056"/>
    <w:rsid w:val="009113C2"/>
    <w:rsid w:val="00911F56"/>
    <w:rsid w:val="0091445D"/>
    <w:rsid w:val="009168D3"/>
    <w:rsid w:val="0092500D"/>
    <w:rsid w:val="00926F10"/>
    <w:rsid w:val="00930DE4"/>
    <w:rsid w:val="00931C36"/>
    <w:rsid w:val="00935804"/>
    <w:rsid w:val="00941008"/>
    <w:rsid w:val="00943C88"/>
    <w:rsid w:val="00944873"/>
    <w:rsid w:val="0094544F"/>
    <w:rsid w:val="009457F5"/>
    <w:rsid w:val="009510B2"/>
    <w:rsid w:val="00951C43"/>
    <w:rsid w:val="00954DAF"/>
    <w:rsid w:val="009552BC"/>
    <w:rsid w:val="00956F04"/>
    <w:rsid w:val="009714FD"/>
    <w:rsid w:val="00971DFA"/>
    <w:rsid w:val="0097292E"/>
    <w:rsid w:val="009752D7"/>
    <w:rsid w:val="00981FE5"/>
    <w:rsid w:val="00990E03"/>
    <w:rsid w:val="00993F6E"/>
    <w:rsid w:val="009A3249"/>
    <w:rsid w:val="009A3842"/>
    <w:rsid w:val="009A4D8A"/>
    <w:rsid w:val="009B58A8"/>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14BE"/>
    <w:rsid w:val="00A31F51"/>
    <w:rsid w:val="00A3658B"/>
    <w:rsid w:val="00A416F8"/>
    <w:rsid w:val="00A42342"/>
    <w:rsid w:val="00A62FE6"/>
    <w:rsid w:val="00A7354E"/>
    <w:rsid w:val="00A7591B"/>
    <w:rsid w:val="00A95A76"/>
    <w:rsid w:val="00AA11FD"/>
    <w:rsid w:val="00AA2237"/>
    <w:rsid w:val="00AA22A5"/>
    <w:rsid w:val="00AA5240"/>
    <w:rsid w:val="00AB07DE"/>
    <w:rsid w:val="00AB6787"/>
    <w:rsid w:val="00AC05ED"/>
    <w:rsid w:val="00AC4ADC"/>
    <w:rsid w:val="00AC5613"/>
    <w:rsid w:val="00AC773A"/>
    <w:rsid w:val="00AD55C0"/>
    <w:rsid w:val="00AD7E39"/>
    <w:rsid w:val="00AE0634"/>
    <w:rsid w:val="00AE16E2"/>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B07BF"/>
    <w:rsid w:val="00BC0099"/>
    <w:rsid w:val="00BC08E6"/>
    <w:rsid w:val="00BC39F1"/>
    <w:rsid w:val="00BC6B0E"/>
    <w:rsid w:val="00BD0381"/>
    <w:rsid w:val="00C12078"/>
    <w:rsid w:val="00C168FB"/>
    <w:rsid w:val="00C177AB"/>
    <w:rsid w:val="00C17EC7"/>
    <w:rsid w:val="00C26AED"/>
    <w:rsid w:val="00C2748E"/>
    <w:rsid w:val="00C33219"/>
    <w:rsid w:val="00C348D5"/>
    <w:rsid w:val="00C35177"/>
    <w:rsid w:val="00C42EDC"/>
    <w:rsid w:val="00C5116B"/>
    <w:rsid w:val="00C52875"/>
    <w:rsid w:val="00C52C62"/>
    <w:rsid w:val="00C60BF7"/>
    <w:rsid w:val="00C66544"/>
    <w:rsid w:val="00C66BF3"/>
    <w:rsid w:val="00C704EF"/>
    <w:rsid w:val="00C71B41"/>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09E8"/>
    <w:rsid w:val="00CD379F"/>
    <w:rsid w:val="00CD416E"/>
    <w:rsid w:val="00CD5859"/>
    <w:rsid w:val="00CE2DED"/>
    <w:rsid w:val="00CE53D9"/>
    <w:rsid w:val="00CE78B2"/>
    <w:rsid w:val="00CF4F15"/>
    <w:rsid w:val="00CF5041"/>
    <w:rsid w:val="00D05922"/>
    <w:rsid w:val="00D06492"/>
    <w:rsid w:val="00D067DA"/>
    <w:rsid w:val="00D21683"/>
    <w:rsid w:val="00D23AC1"/>
    <w:rsid w:val="00D3714A"/>
    <w:rsid w:val="00D3784C"/>
    <w:rsid w:val="00D404E7"/>
    <w:rsid w:val="00D439F2"/>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548D"/>
    <w:rsid w:val="00F87B91"/>
    <w:rsid w:val="00F90C25"/>
    <w:rsid w:val="00F91380"/>
    <w:rsid w:val="00F93AB7"/>
    <w:rsid w:val="00F96B0B"/>
    <w:rsid w:val="00FA24DB"/>
    <w:rsid w:val="00FA6D64"/>
    <w:rsid w:val="00FB3733"/>
    <w:rsid w:val="00FB3AEC"/>
    <w:rsid w:val="00FB4D99"/>
    <w:rsid w:val="00FB780D"/>
    <w:rsid w:val="00FC0F14"/>
    <w:rsid w:val="00FD1C91"/>
    <w:rsid w:val="00FD2236"/>
    <w:rsid w:val="00FE04F2"/>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qFormat/>
    <w:rsid w:val="000A4362"/>
    <w:pPr>
      <w:spacing w:before="0" w:after="0"/>
    </w:pPr>
    <w:rPr>
      <w:sz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character" w:styleId="UnresolvedMention">
    <w:name w:val="Unresolved Mention"/>
    <w:basedOn w:val="DefaultParagraphFont"/>
    <w:uiPriority w:val="99"/>
    <w:semiHidden/>
    <w:unhideWhenUsed/>
    <w:rsid w:val="00A314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eumm.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umm.eu/en/about_eumm/tender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s@eumm.e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2575</Words>
  <Characters>14684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Nikoloz Chantladze</cp:lastModifiedBy>
  <cp:revision>7</cp:revision>
  <dcterms:created xsi:type="dcterms:W3CDTF">2022-08-09T04:36:00Z</dcterms:created>
  <dcterms:modified xsi:type="dcterms:W3CDTF">2022-08-26T10:14:00Z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