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39E8DED9"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o: EUMM-2</w:t>
      </w:r>
      <w:r w:rsidR="009574E7">
        <w:rPr>
          <w:rFonts w:ascii="Times New Roman" w:hAnsi="Times New Roman"/>
          <w:smallCaps/>
          <w:sz w:val="28"/>
          <w:szCs w:val="28"/>
          <w:lang w:val="en-GB"/>
        </w:rPr>
        <w:t>4</w:t>
      </w:r>
      <w:r>
        <w:rPr>
          <w:rFonts w:ascii="Times New Roman" w:hAnsi="Times New Roman"/>
          <w:smallCaps/>
          <w:sz w:val="28"/>
          <w:szCs w:val="28"/>
          <w:lang w:val="en-GB"/>
        </w:rPr>
        <w:t>-</w:t>
      </w:r>
      <w:r w:rsidR="009574E7">
        <w:rPr>
          <w:rFonts w:ascii="Times New Roman" w:hAnsi="Times New Roman"/>
          <w:smallCaps/>
          <w:sz w:val="28"/>
          <w:szCs w:val="28"/>
          <w:lang w:val="en-GB"/>
        </w:rPr>
        <w:t>9133</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5E964A3F" w14:textId="77777777" w:rsidR="004F555C"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64a I. Chavchavadze Avenue</w:t>
      </w:r>
    </w:p>
    <w:p w14:paraId="0B8ACB57" w14:textId="46726736" w:rsidR="007B42F3"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0179</w:t>
      </w:r>
      <w:r w:rsidR="007B42F3">
        <w:rPr>
          <w:rFonts w:ascii="Times New Roman" w:hAnsi="Times New Roman"/>
          <w:sz w:val="22"/>
          <w:szCs w:val="22"/>
          <w:lang w:val="en-GB"/>
        </w:rPr>
        <w:t xml:space="preserve">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303A3E68" w14:textId="77777777" w:rsidR="005F650E"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5F650E" w:rsidRPr="005F650E">
        <w:rPr>
          <w:rFonts w:ascii="Times New Roman" w:hAnsi="Times New Roman"/>
          <w:b/>
          <w:sz w:val="28"/>
          <w:lang w:val="en-GB"/>
        </w:rPr>
        <w:t xml:space="preserve">Supply and delivery of </w:t>
      </w:r>
    </w:p>
    <w:p w14:paraId="1DF99BED" w14:textId="5929B60F" w:rsidR="007B42F3" w:rsidRDefault="005F650E" w:rsidP="007B42F3">
      <w:pPr>
        <w:spacing w:before="0" w:after="0"/>
        <w:jc w:val="center"/>
        <w:outlineLvl w:val="0"/>
        <w:rPr>
          <w:rFonts w:ascii="Times New Roman" w:hAnsi="Times New Roman"/>
          <w:b/>
          <w:sz w:val="28"/>
          <w:lang w:val="en-GB"/>
        </w:rPr>
      </w:pPr>
      <w:r w:rsidRPr="005F650E">
        <w:rPr>
          <w:rFonts w:ascii="Times New Roman" w:hAnsi="Times New Roman"/>
          <w:b/>
          <w:sz w:val="28"/>
          <w:lang w:val="en-GB"/>
        </w:rPr>
        <w:t>Observation and patrolling equipment</w:t>
      </w:r>
    </w:p>
    <w:p w14:paraId="0BDF90FE" w14:textId="54043787"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Identification number: EUMM-2</w:t>
      </w:r>
      <w:r w:rsidR="005F650E">
        <w:rPr>
          <w:rFonts w:ascii="Times New Roman" w:hAnsi="Times New Roman"/>
          <w:b/>
          <w:sz w:val="22"/>
          <w:lang w:val="en-GB"/>
        </w:rPr>
        <w:t>4</w:t>
      </w:r>
      <w:r>
        <w:rPr>
          <w:rFonts w:ascii="Times New Roman" w:hAnsi="Times New Roman"/>
          <w:b/>
          <w:sz w:val="22"/>
          <w:lang w:val="en-GB"/>
        </w:rPr>
        <w:t>-</w:t>
      </w:r>
      <w:r w:rsidR="005F650E">
        <w:rPr>
          <w:rFonts w:ascii="Times New Roman" w:hAnsi="Times New Roman"/>
          <w:b/>
          <w:sz w:val="22"/>
          <w:lang w:val="en-GB"/>
        </w:rPr>
        <w:t>9133</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4B3E23FE"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Pr>
          <w:rFonts w:ascii="Times New Roman" w:hAnsi="Times New Roman"/>
          <w:sz w:val="22"/>
          <w:lang w:val="en-GB"/>
        </w:rPr>
        <w:t xml:space="preserve">supply and delivery of </w:t>
      </w:r>
      <w:r w:rsidR="005F650E" w:rsidRPr="005F650E">
        <w:rPr>
          <w:rFonts w:ascii="Times New Roman" w:hAnsi="Times New Roman"/>
          <w:sz w:val="22"/>
          <w:lang w:val="en-GB"/>
        </w:rPr>
        <w:t xml:space="preserve">Observation and patrolling equipment </w:t>
      </w:r>
      <w:r w:rsidR="00615516">
        <w:rPr>
          <w:rFonts w:ascii="Times New Roman" w:hAnsi="Times New Roman"/>
          <w:sz w:val="22"/>
          <w:lang w:val="en-GB"/>
        </w:rPr>
        <w:t>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3E2B4200" w14:textId="73D96541"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lastRenderedPageBreak/>
        <w:t xml:space="preserve">The place of acceptance of the supplies shall be </w:t>
      </w:r>
      <w:r w:rsidRPr="007B42F3">
        <w:rPr>
          <w:rFonts w:ascii="Times New Roman" w:hAnsi="Times New Roman"/>
          <w:b/>
          <w:sz w:val="22"/>
          <w:szCs w:val="22"/>
          <w:lang w:val="en-GB"/>
        </w:rPr>
        <w:t>The European Union Monitoring Mission in Georgia (EUMM), 15 Nestan-Darejani Street, Tbilisi, Georgia</w:t>
      </w:r>
      <w:r w:rsidRPr="007B42F3">
        <w:rPr>
          <w:rFonts w:ascii="Times New Roman" w:hAnsi="Times New Roman"/>
          <w:sz w:val="22"/>
          <w:szCs w:val="22"/>
          <w:lang w:val="en-GB"/>
        </w:rPr>
        <w:t xml:space="preserve">, </w:t>
      </w:r>
      <w:bookmarkStart w:id="0" w:name="_Hlk133495282"/>
      <w:r w:rsidRPr="007B42F3">
        <w:rPr>
          <w:rFonts w:ascii="Times New Roman" w:hAnsi="Times New Roman"/>
          <w:sz w:val="22"/>
          <w:szCs w:val="22"/>
          <w:lang w:val="en-GB"/>
        </w:rPr>
        <w:t xml:space="preserve">the maximum time limit for </w:t>
      </w:r>
      <w:r w:rsidRPr="00FF5007">
        <w:rPr>
          <w:rFonts w:ascii="Times New Roman" w:hAnsi="Times New Roman"/>
          <w:sz w:val="22"/>
          <w:szCs w:val="22"/>
          <w:lang w:val="en-GB"/>
        </w:rPr>
        <w:t xml:space="preserve">delivery of the </w:t>
      </w:r>
      <w:r w:rsidR="00B37C93" w:rsidRPr="00FF5007">
        <w:rPr>
          <w:rFonts w:ascii="Times New Roman" w:hAnsi="Times New Roman"/>
          <w:sz w:val="22"/>
          <w:szCs w:val="22"/>
          <w:lang w:val="en-GB"/>
        </w:rPr>
        <w:t xml:space="preserve">observation and patrolling equipment </w:t>
      </w:r>
      <w:r w:rsidRPr="007B42F3">
        <w:rPr>
          <w:rFonts w:ascii="Times New Roman" w:hAnsi="Times New Roman"/>
          <w:sz w:val="22"/>
          <w:szCs w:val="22"/>
          <w:lang w:val="en-GB"/>
        </w:rPr>
        <w:t>shall be</w:t>
      </w:r>
      <w:r w:rsidR="00615516">
        <w:rPr>
          <w:rFonts w:ascii="Times New Roman" w:hAnsi="Times New Roman"/>
          <w:sz w:val="22"/>
          <w:szCs w:val="22"/>
          <w:lang w:val="en-GB"/>
        </w:rPr>
        <w:t xml:space="preserve"> </w:t>
      </w:r>
      <w:bookmarkEnd w:id="0"/>
      <w:r w:rsidR="0037392C" w:rsidRPr="0037392C">
        <w:rPr>
          <w:rFonts w:ascii="Times New Roman" w:hAnsi="Times New Roman"/>
          <w:b/>
          <w:bCs/>
          <w:sz w:val="22"/>
          <w:szCs w:val="22"/>
          <w:lang w:val="en-GB"/>
        </w:rPr>
        <w:t>120 calendar days for lots 1 and 2 and 60 calendar days for lot 3,4 and 5</w:t>
      </w:r>
      <w:r w:rsidR="0037392C">
        <w:rPr>
          <w:rFonts w:ascii="Times New Roman" w:hAnsi="Times New Roman"/>
          <w:sz w:val="22"/>
          <w:szCs w:val="22"/>
          <w:lang w:val="en-GB"/>
        </w:rPr>
        <w:t xml:space="preserve"> </w:t>
      </w:r>
      <w:r w:rsidRPr="007B42F3">
        <w:rPr>
          <w:rFonts w:ascii="Times New Roman" w:hAnsi="Times New Roman"/>
          <w:sz w:val="22"/>
          <w:szCs w:val="22"/>
          <w:lang w:val="en-GB"/>
        </w:rPr>
        <w:t>and the Incoterm applicable shall be DAP</w:t>
      </w:r>
      <w:r w:rsidRPr="007B42F3">
        <w:rPr>
          <w:rFonts w:ascii="Times New Roman" w:hAnsi="Times New Roman"/>
          <w:sz w:val="22"/>
          <w:szCs w:val="22"/>
          <w:vertAlign w:val="superscript"/>
          <w:lang w:val="en-GB"/>
        </w:rPr>
        <w:footnoteReference w:id="3"/>
      </w:r>
      <w:r w:rsidRPr="007B42F3">
        <w:rPr>
          <w:rFonts w:ascii="Times New Roman" w:hAnsi="Times New Roman"/>
          <w:sz w:val="22"/>
          <w:szCs w:val="22"/>
          <w:lang w:val="en-GB"/>
        </w:rPr>
        <w:t xml:space="preserve">. </w:t>
      </w:r>
    </w:p>
    <w:p w14:paraId="4FB634C5" w14:textId="2D6A9127"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 xml:space="preserve">The contractor shall comply strictly with the terms of the special conditions and the technical </w:t>
      </w:r>
      <w:r w:rsidR="0037392C">
        <w:rPr>
          <w:rFonts w:ascii="Times New Roman" w:hAnsi="Times New Roman"/>
        </w:rPr>
        <w:t>spec</w:t>
      </w:r>
      <w:r w:rsidR="001D711A">
        <w:rPr>
          <w:rFonts w:ascii="Times New Roman" w:hAnsi="Times New Roman"/>
        </w:rPr>
        <w:t xml:space="preserve">ifications </w:t>
      </w:r>
      <w:r w:rsidRPr="007B42F3">
        <w:rPr>
          <w:rFonts w:ascii="Times New Roman" w:hAnsi="Times New Roman"/>
        </w:rPr>
        <w:t>annex.</w:t>
      </w:r>
    </w:p>
    <w:p w14:paraId="00239CB1" w14:textId="77777777" w:rsidR="008339B2" w:rsidRPr="008339B2" w:rsidRDefault="008339B2" w:rsidP="008339B2">
      <w:pPr>
        <w:pStyle w:val="ListParagraph"/>
        <w:ind w:left="710"/>
        <w:jc w:val="both"/>
        <w:rPr>
          <w:rFonts w:ascii="Times New Roman" w:hAnsi="Times New Roman"/>
        </w:rPr>
      </w:pP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proofErr w:type="spellStart"/>
      <w:r>
        <w:rPr>
          <w:rFonts w:ascii="Times New Roman" w:hAnsi="Times New Roman"/>
          <w:b/>
          <w:color w:val="000000"/>
          <w:sz w:val="22"/>
          <w:szCs w:val="22"/>
          <w:highlight w:val="yellow"/>
          <w:lang w:val="en-GB"/>
        </w:rPr>
        <w:t>xxxxxx</w:t>
      </w:r>
      <w:proofErr w:type="spellEnd"/>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77777777"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Pr>
          <w:rFonts w:ascii="Times New Roman" w:hAnsi="Times New Roman"/>
          <w:color w:val="000000"/>
          <w:sz w:val="22"/>
          <w:szCs w:val="22"/>
          <w:lang w:val="en-GB"/>
        </w:rPr>
        <w:t>EUMM is exempt from all taxes (including VAT), customs or import duties and other fiscal charges having equivalent effect, in respect of any goods to be supplied under this contract. All such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 xml:space="preserve">the contract </w:t>
      </w:r>
      <w:proofErr w:type="gramStart"/>
      <w:r w:rsidRPr="008339B2">
        <w:rPr>
          <w:rFonts w:ascii="Times New Roman" w:hAnsi="Times New Roman"/>
          <w:sz w:val="22"/>
          <w:lang w:val="en-GB"/>
        </w:rPr>
        <w:t>agreement;</w:t>
      </w:r>
      <w:proofErr w:type="gramEnd"/>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roofErr w:type="gramStart"/>
      <w:r w:rsidRPr="008339B2">
        <w:rPr>
          <w:rFonts w:ascii="Times New Roman" w:hAnsi="Times New Roman"/>
          <w:sz w:val="22"/>
          <w:lang w:val="en-GB"/>
        </w:rPr>
        <w:t>);</w:t>
      </w:r>
      <w:proofErr w:type="gramEnd"/>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roofErr w:type="gramStart"/>
      <w:r w:rsidRPr="008339B2">
        <w:rPr>
          <w:rFonts w:ascii="Times New Roman" w:hAnsi="Times New Roman"/>
          <w:sz w:val="22"/>
          <w:lang w:val="en-GB"/>
        </w:rPr>
        <w:t>];</w:t>
      </w:r>
      <w:proofErr w:type="gramEnd"/>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roofErr w:type="gramStart"/>
      <w:r w:rsidRPr="008339B2">
        <w:rPr>
          <w:rFonts w:ascii="Times New Roman" w:hAnsi="Times New Roman"/>
          <w:sz w:val="22"/>
          <w:lang w:val="en-GB"/>
        </w:rPr>
        <w:t>);</w:t>
      </w:r>
      <w:proofErr w:type="gramEnd"/>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roofErr w:type="gramStart"/>
      <w:r w:rsidRPr="008339B2">
        <w:rPr>
          <w:rFonts w:ascii="Times New Roman" w:hAnsi="Times New Roman"/>
          <w:sz w:val="22"/>
          <w:lang w:val="en-GB"/>
        </w:rPr>
        <w:t>);</w:t>
      </w:r>
      <w:proofErr w:type="gramEnd"/>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roofErr w:type="gramStart"/>
      <w:r w:rsidRPr="008339B2">
        <w:rPr>
          <w:rFonts w:ascii="Times New Roman" w:hAnsi="Times New Roman"/>
          <w:sz w:val="22"/>
          <w:lang w:val="en-GB"/>
        </w:rPr>
        <w:t>);</w:t>
      </w:r>
      <w:proofErr w:type="gramEnd"/>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7D10FC31"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w:t>
      </w:r>
      <w:r w:rsidR="00B37C93">
        <w:rPr>
          <w:rFonts w:ascii="Times New Roman" w:hAnsi="Times New Roman"/>
          <w:noProof/>
          <w:sz w:val="22"/>
          <w:szCs w:val="22"/>
          <w:lang w:val="en-GB"/>
        </w:rPr>
        <w:t xml:space="preserve">two </w:t>
      </w:r>
      <w:r>
        <w:rPr>
          <w:rFonts w:ascii="Times New Roman" w:hAnsi="Times New Roman"/>
          <w:noProof/>
          <w:sz w:val="22"/>
          <w:szCs w:val="22"/>
          <w:lang w:val="en-GB"/>
        </w:rPr>
        <w:t xml:space="preserve"> originals: </w:t>
      </w:r>
      <w:r w:rsidR="00B37C93">
        <w:rPr>
          <w:rFonts w:ascii="Times New Roman" w:hAnsi="Times New Roman"/>
          <w:noProof/>
          <w:sz w:val="22"/>
          <w:szCs w:val="22"/>
          <w:lang w:val="en-GB"/>
        </w:rPr>
        <w:t>one</w:t>
      </w:r>
      <w:r>
        <w:rPr>
          <w:rFonts w:ascii="Times New Roman" w:hAnsi="Times New Roman"/>
          <w:noProof/>
          <w:sz w:val="22"/>
          <w:szCs w:val="22"/>
          <w:lang w:val="en-GB"/>
        </w:rPr>
        <w:t xml:space="preserve"> original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w:t>
      </w:r>
      <w:r w:rsidR="00B37C93">
        <w:rPr>
          <w:rFonts w:ascii="Times New Roman" w:hAnsi="Times New Roman"/>
          <w:noProof/>
          <w:sz w:val="22"/>
          <w:szCs w:val="22"/>
          <w:lang w:val="en-GB"/>
        </w:rPr>
        <w:t xml:space="preserve">and </w:t>
      </w:r>
      <w:r>
        <w:rPr>
          <w:rFonts w:ascii="Times New Roman" w:hAnsi="Times New Roman"/>
          <w:noProof/>
          <w:sz w:val="22"/>
          <w:szCs w:val="22"/>
          <w:lang w:val="en-GB"/>
        </w:rPr>
        <w:t xml:space="preserve">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C57606C"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F1AF656" w14:textId="77777777" w:rsidR="007B42F3" w:rsidRDefault="007B42F3" w:rsidP="007B42F3">
      <w:pPr>
        <w:ind w:left="567"/>
        <w:rPr>
          <w:rFonts w:ascii="Times New Roman" w:hAnsi="Times New Roman"/>
          <w:lang w:val="en-GB"/>
        </w:rPr>
      </w:pPr>
    </w:p>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1" w:name="_Toc42488096"/>
      <w:r>
        <w:rPr>
          <w:rFonts w:ascii="Times New Roman" w:hAnsi="Times New Roman"/>
          <w:i/>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 xml:space="preserve">Subcontracting is allowed. However, the contractor will retain full liability towards the contracting authority for performance of the </w:t>
      </w:r>
      <w:proofErr w:type="gramStart"/>
      <w:r>
        <w:rPr>
          <w:rFonts w:ascii="Times New Roman" w:hAnsi="Times New Roman"/>
          <w:sz w:val="22"/>
          <w:szCs w:val="22"/>
          <w:lang w:val="en-GB"/>
        </w:rPr>
        <w:t>contract as a whole</w:t>
      </w:r>
      <w:proofErr w:type="gramEnd"/>
      <w:r>
        <w:rPr>
          <w:rFonts w:ascii="Times New Roman" w:hAnsi="Times New Roman"/>
          <w:sz w:val="22"/>
          <w:szCs w:val="22"/>
          <w:lang w:val="en-GB"/>
        </w:rPr>
        <w:t>.</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2E847B08" w:rsidR="007B42F3" w:rsidRPr="00F47FF6" w:rsidRDefault="007B42F3" w:rsidP="000C50AD">
      <w:pPr>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D0592F" w:rsidRPr="000D2056">
        <w:rPr>
          <w:rFonts w:ascii="Times New Roman" w:hAnsi="Times New Roman"/>
          <w:sz w:val="22"/>
          <w:szCs w:val="22"/>
          <w:lang w:val="en-GB"/>
        </w:rPr>
        <w:t>The amount of the performance guarantee shall be 10 % of the total contract price, including any amounts stipulated in addenda to the contract.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 xml:space="preserve">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w:t>
      </w:r>
      <w:proofErr w:type="gramStart"/>
      <w:r>
        <w:rPr>
          <w:rFonts w:ascii="Times New Roman" w:hAnsi="Times New Roman"/>
          <w:sz w:val="22"/>
          <w:lang w:val="en-GB"/>
        </w:rPr>
        <w:t>provided</w:t>
      </w:r>
      <w:proofErr w:type="gramEnd"/>
      <w:r>
        <w:rPr>
          <w:rFonts w:ascii="Times New Roman" w:hAnsi="Times New Roman"/>
          <w:sz w:val="22"/>
          <w:lang w:val="en-GB"/>
        </w:rPr>
        <w:t xml:space="preserve"> and facilities used by it for the purposes of the Mission”.</w:t>
      </w:r>
    </w:p>
    <w:p w14:paraId="36DE3C0B" w14:textId="77777777"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DAP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2B397732" w:rsidR="007B42F3" w:rsidRDefault="007B42F3" w:rsidP="00B23B46">
      <w:pPr>
        <w:tabs>
          <w:tab w:val="left" w:pos="720"/>
        </w:tabs>
        <w:ind w:left="720" w:hanging="720"/>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13FBEADF" w:rsidR="007B42F3" w:rsidRPr="000E087D" w:rsidRDefault="007B42F3" w:rsidP="000E087D">
      <w:pPr>
        <w:jc w:val="both"/>
        <w:rPr>
          <w:rFonts w:ascii="Times New Roman" w:hAnsi="Times New Roman"/>
          <w:color w:val="000000"/>
          <w:sz w:val="22"/>
          <w:szCs w:val="22"/>
          <w:lang w:val="en-GB"/>
        </w:rPr>
      </w:pPr>
      <w:r w:rsidRPr="00D52199">
        <w:rPr>
          <w:rFonts w:ascii="Times New Roman" w:hAnsi="Times New Roman"/>
          <w:color w:val="000000"/>
          <w:sz w:val="22"/>
          <w:szCs w:val="22"/>
          <w:lang w:val="en-GB"/>
        </w:rPr>
        <w:t xml:space="preserve">The </w:t>
      </w:r>
      <w:r w:rsidR="003B0879" w:rsidRPr="00D52199">
        <w:rPr>
          <w:rFonts w:ascii="Times New Roman" w:hAnsi="Times New Roman"/>
          <w:color w:val="000000"/>
          <w:sz w:val="22"/>
          <w:szCs w:val="22"/>
          <w:lang w:val="en-GB"/>
        </w:rPr>
        <w:t xml:space="preserve">supplies </w:t>
      </w:r>
      <w:r w:rsidRPr="00D52199">
        <w:rPr>
          <w:rFonts w:ascii="Times New Roman" w:hAnsi="Times New Roman"/>
          <w:color w:val="000000"/>
          <w:sz w:val="22"/>
          <w:szCs w:val="22"/>
          <w:lang w:val="en-GB"/>
        </w:rPr>
        <w:t xml:space="preserve">shall be </w:t>
      </w:r>
      <w:r w:rsidR="00595D42" w:rsidRPr="00595D42">
        <w:rPr>
          <w:rFonts w:ascii="Times New Roman" w:hAnsi="Times New Roman"/>
          <w:color w:val="000000"/>
          <w:sz w:val="22"/>
          <w:szCs w:val="22"/>
          <w:lang w:val="en-GB"/>
        </w:rPr>
        <w:t>120 calendar days for lots 1 and 2 and 60 calendar days for lot 3,4 and 5</w:t>
      </w:r>
      <w:r w:rsidR="004F555C">
        <w:rPr>
          <w:rFonts w:ascii="Times New Roman" w:hAnsi="Times New Roman"/>
          <w:sz w:val="22"/>
          <w:szCs w:val="22"/>
          <w:lang w:val="en-GB"/>
        </w:rPr>
        <w:t>.</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9"/>
    </w:p>
    <w:p w14:paraId="67C6CFED" w14:textId="21B64432" w:rsidR="007B42F3" w:rsidRPr="00A8690A" w:rsidRDefault="007B42F3" w:rsidP="00595D42">
      <w:pPr>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77777777"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1"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 xml:space="preserve">For Georgian based contractors payments shall be made in GEL. All amounts </w:t>
      </w:r>
      <w:proofErr w:type="gramStart"/>
      <w:r w:rsidRPr="00BD0B8E">
        <w:rPr>
          <w:rFonts w:ascii="Times New Roman" w:hAnsi="Times New Roman"/>
          <w:sz w:val="22"/>
          <w:szCs w:val="22"/>
          <w:lang w:val="en-GB" w:eastAsia="en-GB"/>
        </w:rPr>
        <w:t>payable</w:t>
      </w:r>
      <w:proofErr w:type="gramEnd"/>
      <w:r w:rsidRPr="00BD0B8E">
        <w:rPr>
          <w:rFonts w:ascii="Times New Roman" w:hAnsi="Times New Roman"/>
          <w:sz w:val="22"/>
          <w:szCs w:val="22"/>
          <w:lang w:val="en-GB" w:eastAsia="en-GB"/>
        </w:rPr>
        <w:t xml:space="preserve"> shall be converted from EURO into GEL using the selling rate of the commercial bank serving EUMM Georgia, applicable on the date of the transaction.</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7777777"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Pre-financing is not applicable to this contract.</w:t>
      </w:r>
    </w:p>
    <w:p w14:paraId="31814B28" w14:textId="1E08C21B" w:rsidR="00BD0B8E" w:rsidRP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lastRenderedPageBreak/>
        <w:t>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1"/>
    </w:p>
    <w:p w14:paraId="74BAA87D"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7743D5E" w14:textId="0EFF803F" w:rsidR="007D5A1C" w:rsidRPr="007D5A1C" w:rsidRDefault="007B42F3" w:rsidP="007D5A1C">
      <w:pPr>
        <w:ind w:left="426" w:hanging="425"/>
        <w:jc w:val="both"/>
        <w:rPr>
          <w:rFonts w:ascii="Times New Roman" w:hAnsi="Times New Roman"/>
          <w:color w:val="000000"/>
          <w:sz w:val="22"/>
          <w:szCs w:val="22"/>
          <w:lang w:val="en-GB" w:eastAsia="ar-SA"/>
        </w:rPr>
      </w:pPr>
      <w:bookmarkStart w:id="12" w:name="_Toc124934917"/>
      <w:r>
        <w:rPr>
          <w:rFonts w:ascii="Times New Roman" w:hAnsi="Times New Roman"/>
          <w:color w:val="000000"/>
          <w:sz w:val="22"/>
          <w:szCs w:val="22"/>
          <w:lang w:val="en-GB"/>
        </w:rPr>
        <w:t>32.6</w:t>
      </w:r>
      <w:r>
        <w:rPr>
          <w:rFonts w:ascii="Times New Roman" w:hAnsi="Times New Roman"/>
          <w:color w:val="000000"/>
          <w:sz w:val="22"/>
          <w:szCs w:val="22"/>
          <w:lang w:val="en-GB"/>
        </w:rPr>
        <w:tab/>
        <w:t xml:space="preserve">Any and all goods to be supplied under this contract must be new and unused, of the most recent models and incorporate all recent improvements in design and materials. </w:t>
      </w:r>
      <w:r w:rsidR="007D5A1C" w:rsidRPr="007D5A1C">
        <w:rPr>
          <w:rFonts w:ascii="Times New Roman" w:hAnsi="Times New Roman"/>
          <w:color w:val="000000"/>
          <w:sz w:val="22"/>
          <w:szCs w:val="22"/>
          <w:lang w:val="en-GB" w:eastAsia="ar-SA"/>
        </w:rPr>
        <w:t xml:space="preserve">The </w:t>
      </w:r>
      <w:r w:rsidR="007C7728">
        <w:rPr>
          <w:rFonts w:ascii="Times New Roman" w:hAnsi="Times New Roman"/>
          <w:color w:val="000000"/>
          <w:sz w:val="22"/>
          <w:szCs w:val="22"/>
          <w:lang w:val="en-GB" w:eastAsia="ar-SA"/>
        </w:rPr>
        <w:t>Contractor must</w:t>
      </w:r>
      <w:r w:rsidR="007D5A1C" w:rsidRPr="007D5A1C">
        <w:rPr>
          <w:rFonts w:ascii="Times New Roman" w:hAnsi="Times New Roman"/>
          <w:color w:val="000000"/>
          <w:sz w:val="22"/>
          <w:szCs w:val="22"/>
          <w:lang w:val="en-GB" w:eastAsia="ar-SA"/>
        </w:rPr>
        <w:t xml:space="preserve"> ensure that all supplies shall have no defect arising from design, </w:t>
      </w:r>
      <w:proofErr w:type="gramStart"/>
      <w:r w:rsidR="007273E7" w:rsidRPr="007D5A1C">
        <w:rPr>
          <w:rFonts w:ascii="Times New Roman" w:hAnsi="Times New Roman"/>
          <w:color w:val="000000"/>
          <w:sz w:val="22"/>
          <w:szCs w:val="22"/>
          <w:lang w:val="en-GB" w:eastAsia="ar-SA"/>
        </w:rPr>
        <w:t>materials</w:t>
      </w:r>
      <w:proofErr w:type="gramEnd"/>
      <w:r w:rsidR="007D5A1C" w:rsidRPr="007D5A1C">
        <w:rPr>
          <w:rFonts w:ascii="Times New Roman" w:hAnsi="Times New Roman"/>
          <w:color w:val="000000"/>
          <w:sz w:val="22"/>
          <w:szCs w:val="22"/>
          <w:lang w:val="en-GB" w:eastAsia="ar-SA"/>
        </w:rPr>
        <w:t xml:space="preserve"> or workmanship, except insofar as the design or materials are required by the specifications, or from any act or omission, that may develop under use of the supplies. </w:t>
      </w:r>
    </w:p>
    <w:p w14:paraId="71631FA7" w14:textId="6AAFBACD" w:rsidR="007D5A1C" w:rsidRPr="007D5A1C" w:rsidRDefault="007D5A1C" w:rsidP="00F5453F">
      <w:pPr>
        <w:ind w:left="426" w:firstLine="24"/>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The supplier shall be responsible to ensure that all defects in, or damage to, any part of the supplies which may appear or occur during the manufacturer's warranty period and which:</w:t>
      </w:r>
    </w:p>
    <w:p w14:paraId="02C24813" w14:textId="77777777" w:rsidR="007D5A1C" w:rsidRPr="00483B91" w:rsidRDefault="007D5A1C" w:rsidP="00FB2E10">
      <w:pPr>
        <w:ind w:left="540"/>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 xml:space="preserve">result </w:t>
      </w:r>
      <w:r w:rsidRPr="00483B91">
        <w:rPr>
          <w:rFonts w:ascii="Times New Roman" w:hAnsi="Times New Roman"/>
          <w:color w:val="000000"/>
          <w:sz w:val="22"/>
          <w:szCs w:val="22"/>
          <w:lang w:val="en-GB" w:eastAsia="ar-SA"/>
        </w:rPr>
        <w:t>from the use of defective materials, faulty workmanship, or design of the manufacturer; or</w:t>
      </w:r>
    </w:p>
    <w:p w14:paraId="7253C4DC" w14:textId="77777777"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result from any act or omission during the warranty period; or</w:t>
      </w:r>
    </w:p>
    <w:p w14:paraId="12B42277" w14:textId="32D7BE26"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 xml:space="preserve">appear </w:t>
      </w:r>
      <w:r w:rsidR="0052027D" w:rsidRPr="00483B91">
        <w:rPr>
          <w:rFonts w:ascii="Times New Roman" w:hAnsi="Times New Roman"/>
          <w:color w:val="000000"/>
          <w:sz w:val="22"/>
          <w:szCs w:val="22"/>
          <w:lang w:val="en-GB" w:eastAsia="ar-SA"/>
        </w:rPr>
        <w:t>during</w:t>
      </w:r>
      <w:r w:rsidRPr="00483B91">
        <w:rPr>
          <w:rFonts w:ascii="Times New Roman" w:hAnsi="Times New Roman"/>
          <w:color w:val="000000"/>
          <w:sz w:val="22"/>
          <w:szCs w:val="22"/>
          <w:lang w:val="en-GB" w:eastAsia="ar-SA"/>
        </w:rPr>
        <w:t xml:space="preserve"> an inspection made by, or on behalf of, the </w:t>
      </w:r>
      <w:r w:rsidR="00184A2C" w:rsidRPr="00483B91">
        <w:rPr>
          <w:rFonts w:ascii="Times New Roman" w:hAnsi="Times New Roman"/>
          <w:color w:val="000000"/>
          <w:sz w:val="22"/>
          <w:szCs w:val="22"/>
          <w:lang w:val="en-GB" w:eastAsia="ar-SA"/>
        </w:rPr>
        <w:t>c</w:t>
      </w:r>
      <w:r w:rsidRPr="00483B91">
        <w:rPr>
          <w:rFonts w:ascii="Times New Roman" w:hAnsi="Times New Roman"/>
          <w:color w:val="000000"/>
          <w:sz w:val="22"/>
          <w:szCs w:val="22"/>
          <w:lang w:val="en-GB" w:eastAsia="ar-SA"/>
        </w:rPr>
        <w:t xml:space="preserve">ontracting </w:t>
      </w:r>
      <w:r w:rsidR="00711542" w:rsidRPr="00483B91">
        <w:rPr>
          <w:rFonts w:ascii="Times New Roman" w:hAnsi="Times New Roman"/>
          <w:color w:val="000000"/>
          <w:sz w:val="22"/>
          <w:szCs w:val="22"/>
          <w:lang w:val="en-GB" w:eastAsia="ar-SA"/>
        </w:rPr>
        <w:t>a</w:t>
      </w:r>
      <w:r w:rsidRPr="00483B91">
        <w:rPr>
          <w:rFonts w:ascii="Times New Roman" w:hAnsi="Times New Roman"/>
          <w:color w:val="000000"/>
          <w:sz w:val="22"/>
          <w:szCs w:val="22"/>
          <w:lang w:val="en-GB" w:eastAsia="ar-SA"/>
        </w:rPr>
        <w:t>uthority,</w:t>
      </w:r>
    </w:p>
    <w:p w14:paraId="63257F0A" w14:textId="77777777" w:rsidR="007D5A1C" w:rsidRPr="00483B91" w:rsidRDefault="007D5A1C" w:rsidP="00C6771E">
      <w:pPr>
        <w:ind w:left="426"/>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will be repaired within maximum 14 calendar days.</w:t>
      </w:r>
    </w:p>
    <w:p w14:paraId="68C9EC11" w14:textId="34335FDA" w:rsidR="007B42F3" w:rsidRPr="00483B91" w:rsidRDefault="007B42F3" w:rsidP="007D5A1C">
      <w:pPr>
        <w:ind w:left="426" w:hanging="425"/>
        <w:jc w:val="both"/>
        <w:rPr>
          <w:rFonts w:ascii="Times New Roman" w:hAnsi="Times New Roman"/>
          <w:color w:val="000000"/>
          <w:sz w:val="22"/>
          <w:szCs w:val="22"/>
          <w:lang w:val="en-GB"/>
        </w:rPr>
      </w:pPr>
      <w:r w:rsidRPr="00483B91">
        <w:rPr>
          <w:rFonts w:ascii="Times New Roman" w:hAnsi="Times New Roman"/>
          <w:color w:val="000000"/>
          <w:sz w:val="22"/>
          <w:szCs w:val="22"/>
          <w:lang w:val="en-GB"/>
        </w:rPr>
        <w:t>32.7</w:t>
      </w:r>
      <w:r w:rsidRPr="00483B91">
        <w:rPr>
          <w:rFonts w:ascii="Times New Roman" w:hAnsi="Times New Roman"/>
          <w:color w:val="000000"/>
          <w:sz w:val="22"/>
          <w:szCs w:val="22"/>
          <w:lang w:val="en-GB"/>
        </w:rPr>
        <w:tab/>
        <w:t xml:space="preserve">The warranty must remain valid minimum </w:t>
      </w:r>
      <w:r w:rsidR="00BF5DA2" w:rsidRPr="00483B91">
        <w:rPr>
          <w:rFonts w:ascii="Times New Roman" w:hAnsi="Times New Roman"/>
          <w:color w:val="000000"/>
          <w:sz w:val="22"/>
          <w:szCs w:val="22"/>
          <w:lang w:val="en-GB"/>
        </w:rPr>
        <w:t>24 months</w:t>
      </w:r>
      <w:r w:rsidRPr="00483B91">
        <w:rPr>
          <w:rFonts w:ascii="Times New Roman" w:hAnsi="Times New Roman"/>
          <w:color w:val="000000"/>
          <w:sz w:val="22"/>
          <w:szCs w:val="22"/>
          <w:lang w:val="en-GB"/>
        </w:rPr>
        <w:t xml:space="preserve"> after date of provisional acceptance. </w:t>
      </w:r>
      <w:r w:rsidRPr="00483B91">
        <w:rPr>
          <w:rFonts w:ascii="Times New Roman" w:hAnsi="Times New Roman"/>
          <w:sz w:val="22"/>
          <w:szCs w:val="22"/>
          <w:lang w:val="en-GB"/>
        </w:rPr>
        <w:t>If manufacturer’s warranty conditions are better than the above required (</w:t>
      </w:r>
      <w:r w:rsidR="00466B26" w:rsidRPr="00483B91">
        <w:rPr>
          <w:rFonts w:ascii="Times New Roman" w:hAnsi="Times New Roman"/>
          <w:sz w:val="22"/>
          <w:szCs w:val="22"/>
          <w:lang w:val="en-GB"/>
        </w:rPr>
        <w:t>m</w:t>
      </w:r>
      <w:r w:rsidRPr="00483B91">
        <w:rPr>
          <w:rFonts w:ascii="Times New Roman" w:hAnsi="Times New Roman"/>
          <w:sz w:val="22"/>
          <w:szCs w:val="22"/>
          <w:lang w:val="en-GB"/>
        </w:rPr>
        <w:t xml:space="preserve">in. </w:t>
      </w:r>
      <w:r w:rsidR="007676D7" w:rsidRPr="00483B91">
        <w:rPr>
          <w:rFonts w:ascii="Times New Roman" w:hAnsi="Times New Roman"/>
          <w:sz w:val="22"/>
          <w:szCs w:val="22"/>
          <w:lang w:val="en-GB"/>
        </w:rPr>
        <w:t>24 months</w:t>
      </w:r>
      <w:r w:rsidRPr="00483B91">
        <w:rPr>
          <w:rFonts w:ascii="Times New Roman" w:hAnsi="Times New Roman"/>
          <w:sz w:val="22"/>
          <w:szCs w:val="22"/>
          <w:lang w:val="en-GB"/>
        </w:rPr>
        <w:t>), in this case manufacturer’s warranty conditions shall apply</w:t>
      </w:r>
      <w:r w:rsidRPr="00483B91">
        <w:rPr>
          <w:sz w:val="22"/>
          <w:szCs w:val="22"/>
          <w:lang w:val="en-GB"/>
        </w:rPr>
        <w:t xml:space="preserve"> </w:t>
      </w:r>
      <w:r w:rsidRPr="00483B91">
        <w:rPr>
          <w:rFonts w:ascii="Times New Roman" w:hAnsi="Times New Roman"/>
          <w:sz w:val="22"/>
          <w:szCs w:val="22"/>
          <w:lang w:val="en-GB"/>
        </w:rPr>
        <w:t>after date of provisional acceptance.</w:t>
      </w:r>
    </w:p>
    <w:p w14:paraId="2572331A" w14:textId="77777777" w:rsidR="007B42F3" w:rsidRPr="00483B91" w:rsidRDefault="007B42F3" w:rsidP="007B42F3">
      <w:pPr>
        <w:spacing w:before="240"/>
        <w:ind w:left="1134" w:hanging="1134"/>
        <w:jc w:val="both"/>
        <w:rPr>
          <w:rFonts w:ascii="Times New Roman" w:hAnsi="Times New Roman"/>
          <w:b/>
          <w:sz w:val="24"/>
          <w:szCs w:val="24"/>
        </w:rPr>
      </w:pPr>
      <w:r w:rsidRPr="00483B91">
        <w:rPr>
          <w:rFonts w:ascii="Times New Roman" w:hAnsi="Times New Roman"/>
          <w:b/>
          <w:sz w:val="24"/>
          <w:szCs w:val="24"/>
        </w:rPr>
        <w:t>Article 33</w:t>
      </w:r>
      <w:r w:rsidRPr="00483B91">
        <w:rPr>
          <w:rFonts w:ascii="Times New Roman" w:hAnsi="Times New Roman"/>
          <w:b/>
          <w:sz w:val="24"/>
          <w:szCs w:val="24"/>
        </w:rPr>
        <w:tab/>
        <w:t>After-sales service</w:t>
      </w:r>
    </w:p>
    <w:p w14:paraId="3EAE50C0" w14:textId="7E1CFBFA" w:rsidR="00570C4B" w:rsidRPr="00483B91" w:rsidRDefault="007B42F3" w:rsidP="00570C4B">
      <w:pPr>
        <w:ind w:left="851" w:hanging="425"/>
        <w:jc w:val="both"/>
        <w:rPr>
          <w:rFonts w:ascii="Times New Roman" w:hAnsi="Times New Roman"/>
          <w:sz w:val="22"/>
          <w:szCs w:val="22"/>
        </w:rPr>
      </w:pPr>
      <w:r w:rsidRPr="00483B91">
        <w:rPr>
          <w:rFonts w:ascii="Times New Roman" w:hAnsi="Times New Roman"/>
          <w:sz w:val="22"/>
          <w:szCs w:val="22"/>
        </w:rPr>
        <w:t>33.1</w:t>
      </w:r>
      <w:r w:rsidRPr="00483B91">
        <w:rPr>
          <w:rFonts w:ascii="Times New Roman" w:hAnsi="Times New Roman"/>
          <w:sz w:val="22"/>
          <w:szCs w:val="22"/>
        </w:rPr>
        <w:tab/>
        <w:t>The supplier must provide all necessary after sales services needed to honour the contract warranty on the supplied goods</w:t>
      </w:r>
      <w:r w:rsidR="00570C4B" w:rsidRPr="00483B91">
        <w:rPr>
          <w:rFonts w:ascii="Times New Roman" w:hAnsi="Times New Roman"/>
          <w:sz w:val="22"/>
          <w:szCs w:val="22"/>
        </w:rPr>
        <w:t>.</w:t>
      </w:r>
      <w:r w:rsidR="00570C4B" w:rsidRPr="00483B91">
        <w:t xml:space="preserve"> </w:t>
      </w:r>
      <w:r w:rsidR="00570C4B" w:rsidRPr="00483B91">
        <w:rPr>
          <w:rFonts w:ascii="Times New Roman" w:hAnsi="Times New Roman"/>
          <w:sz w:val="22"/>
          <w:szCs w:val="22"/>
        </w:rPr>
        <w:t xml:space="preserve">The contractor shall guarantee to provide minimum 1 authorised dealership/workshop in the country of Georgia able to provide genuine spare parts and services of the proposed </w:t>
      </w:r>
      <w:r w:rsidR="0023515D">
        <w:rPr>
          <w:rFonts w:ascii="Times New Roman" w:hAnsi="Times New Roman"/>
          <w:sz w:val="22"/>
          <w:szCs w:val="22"/>
        </w:rPr>
        <w:t>equipment</w:t>
      </w:r>
      <w:r w:rsidR="00570C4B" w:rsidRPr="00483B91">
        <w:rPr>
          <w:rFonts w:ascii="Times New Roman" w:hAnsi="Times New Roman"/>
          <w:sz w:val="22"/>
          <w:szCs w:val="22"/>
        </w:rPr>
        <w:t xml:space="preserve"> for the duration of minimum 5 years from the date of acceptance.</w:t>
      </w:r>
    </w:p>
    <w:p w14:paraId="2B408516" w14:textId="25A17911" w:rsidR="007B42F3" w:rsidRDefault="007B42F3" w:rsidP="00570C4B">
      <w:pPr>
        <w:jc w:val="both"/>
        <w:rPr>
          <w:rFonts w:ascii="Times New Roman" w:hAnsi="Times New Roman"/>
          <w:b/>
          <w:sz w:val="24"/>
          <w:szCs w:val="24"/>
          <w:lang w:val="en-GB"/>
        </w:rPr>
      </w:pPr>
      <w:r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Pr="00483B91">
        <w:rPr>
          <w:rFonts w:ascii="Times New Roman" w:hAnsi="Times New Roman"/>
          <w:b/>
          <w:sz w:val="24"/>
          <w:szCs w:val="24"/>
          <w:lang w:val="en-GB"/>
        </w:rPr>
        <w:t xml:space="preserve"> of disputes</w:t>
      </w:r>
      <w:bookmarkEnd w:id="12"/>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616591E1"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Council Decision </w:t>
      </w:r>
      <w:r w:rsidRPr="0040445A">
        <w:rPr>
          <w:rFonts w:ascii="Times New Roman" w:hAnsi="Times New Roman"/>
          <w:bCs/>
          <w:sz w:val="22"/>
          <w:szCs w:val="22"/>
          <w:lang w:val="en-GB" w:eastAsia="en-GB"/>
        </w:rPr>
        <w:t>(CFSP) 2022/2318 of 25 November 2022 amending Decision 20</w:t>
      </w:r>
      <w:r w:rsidR="00DC347D">
        <w:rPr>
          <w:rFonts w:ascii="Times New Roman" w:hAnsi="Times New Roman"/>
          <w:bCs/>
          <w:sz w:val="22"/>
          <w:szCs w:val="22"/>
          <w:lang w:val="en-GB" w:eastAsia="en-GB"/>
        </w:rPr>
        <w:t>08</w:t>
      </w:r>
      <w:r w:rsidRPr="0040445A">
        <w:rPr>
          <w:rFonts w:ascii="Times New Roman" w:hAnsi="Times New Roman"/>
          <w:bCs/>
          <w:sz w:val="22"/>
          <w:szCs w:val="22"/>
          <w:lang w:val="en-GB" w:eastAsia="en-GB"/>
        </w:rPr>
        <w:t>/</w:t>
      </w:r>
      <w:r w:rsidR="00DC347D">
        <w:rPr>
          <w:rFonts w:ascii="Times New Roman" w:hAnsi="Times New Roman"/>
          <w:bCs/>
          <w:sz w:val="22"/>
          <w:szCs w:val="22"/>
          <w:lang w:val="en-GB" w:eastAsia="en-GB"/>
        </w:rPr>
        <w:t>736</w:t>
      </w:r>
      <w:r w:rsidRPr="0040445A">
        <w:rPr>
          <w:rFonts w:ascii="Times New Roman" w:hAnsi="Times New Roman"/>
          <w:bCs/>
          <w:sz w:val="22"/>
          <w:szCs w:val="22"/>
          <w:lang w:val="en-GB" w:eastAsia="en-GB"/>
        </w:rPr>
        <w:t>/CFSP,</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w:t>
      </w:r>
      <w:r w:rsidRPr="0040445A">
        <w:rPr>
          <w:rFonts w:ascii="TimesNewRomanPSMT" w:hAnsi="TimesNewRomanPSMT"/>
          <w:color w:val="000000"/>
          <w:sz w:val="22"/>
          <w:szCs w:val="22"/>
          <w:lang w:val="en-GB" w:eastAsia="en-GB"/>
        </w:rPr>
        <w:lastRenderedPageBreak/>
        <w:t xml:space="preserve">respective contribution agreement </w:t>
      </w:r>
      <w:r w:rsidRPr="0040445A">
        <w:rPr>
          <w:rFonts w:ascii="Times New Roman" w:hAnsi="Times New Roman"/>
          <w:bCs/>
          <w:sz w:val="22"/>
          <w:szCs w:val="22"/>
          <w:lang w:val="en-GB" w:eastAsia="en-GB"/>
        </w:rPr>
        <w:t>CFSP/2022/38/EUMM Georgia</w:t>
      </w:r>
      <w:r w:rsidRPr="0040445A">
        <w:rPr>
          <w:rFonts w:ascii="TimesNewRomanPSMT" w:hAnsi="TimesNewRomanPSMT"/>
          <w:color w:val="000000"/>
          <w:sz w:val="22"/>
          <w:szCs w:val="22"/>
          <w:lang w:val="en-GB" w:eastAsia="en-GB"/>
        </w:rPr>
        <w:t xml:space="preserve"> 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7A6F79D9"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rFonts w:ascii="Times New Roman" w:hAnsi="Times New Roman"/>
          <w:sz w:val="22"/>
          <w:szCs w:val="22"/>
          <w:lang w:val="en-GB" w:eastAsia="en-GB"/>
        </w:rPr>
        <w:t>(CFSP) 2022/2318 of 25 November 2022 amending Decision 20</w:t>
      </w:r>
      <w:r w:rsidR="00DC347D">
        <w:rPr>
          <w:rFonts w:ascii="Times New Roman" w:hAnsi="Times New Roman"/>
          <w:sz w:val="22"/>
          <w:szCs w:val="22"/>
          <w:lang w:val="en-GB" w:eastAsia="en-GB"/>
        </w:rPr>
        <w:t>08</w:t>
      </w:r>
      <w:r w:rsidRPr="0040445A">
        <w:rPr>
          <w:rFonts w:ascii="Times New Roman" w:hAnsi="Times New Roman"/>
          <w:sz w:val="22"/>
          <w:szCs w:val="22"/>
          <w:lang w:val="en-GB" w:eastAsia="en-GB"/>
        </w:rPr>
        <w:t>/</w:t>
      </w:r>
      <w:r w:rsidR="00DC347D">
        <w:rPr>
          <w:rFonts w:ascii="Times New Roman" w:hAnsi="Times New Roman"/>
          <w:sz w:val="22"/>
          <w:szCs w:val="22"/>
          <w:lang w:val="en-GB" w:eastAsia="en-GB"/>
        </w:rPr>
        <w:t>736</w:t>
      </w:r>
      <w:r w:rsidRPr="0040445A">
        <w:rPr>
          <w:rFonts w:ascii="Times New Roman" w:hAnsi="Times New Roman"/>
          <w:sz w:val="22"/>
          <w:szCs w:val="22"/>
          <w:lang w:val="en-GB" w:eastAsia="en-GB"/>
        </w:rPr>
        <w:t>/CFSP</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11"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7. These exchanges may involve transfers of personal data (such as names, contact details, </w:t>
      </w:r>
      <w:proofErr w:type="gramStart"/>
      <w:r w:rsidRPr="0040445A">
        <w:rPr>
          <w:rFonts w:ascii="TimesNewRomanPSMT" w:hAnsi="TimesNewRomanPSMT"/>
          <w:color w:val="000000"/>
          <w:sz w:val="22"/>
          <w:szCs w:val="22"/>
          <w:lang w:val="en-GB" w:eastAsia="en-GB"/>
        </w:rPr>
        <w:t>signatures</w:t>
      </w:r>
      <w:proofErr w:type="gramEnd"/>
      <w:r w:rsidRPr="0040445A">
        <w:rPr>
          <w:rFonts w:ascii="TimesNewRomanPSMT" w:hAnsi="TimesNewRomanPSMT"/>
          <w:color w:val="000000"/>
          <w:sz w:val="22"/>
          <w:szCs w:val="22"/>
          <w:lang w:val="en-GB" w:eastAsia="en-GB"/>
        </w:rPr>
        <w:t xml:space="preserve">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5"/>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4712-8cbf-1d527a68717a_en?filename=privacy-statement-indirect-management.pdf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0738F8">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A8104" w14:textId="77777777" w:rsidR="000738F8" w:rsidRDefault="000738F8" w:rsidP="007B42F3">
      <w:pPr>
        <w:spacing w:before="0" w:after="0"/>
      </w:pPr>
      <w:r>
        <w:separator/>
      </w:r>
    </w:p>
  </w:endnote>
  <w:endnote w:type="continuationSeparator" w:id="0">
    <w:p w14:paraId="2A5E669C" w14:textId="77777777" w:rsidR="000738F8" w:rsidRDefault="000738F8"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53B05" w14:textId="77777777" w:rsidR="000738F8" w:rsidRDefault="000738F8" w:rsidP="007B42F3">
      <w:pPr>
        <w:spacing w:before="0" w:after="0"/>
      </w:pPr>
      <w:r>
        <w:separator/>
      </w:r>
    </w:p>
  </w:footnote>
  <w:footnote w:type="continuationSeparator" w:id="0">
    <w:p w14:paraId="31FD28FA" w14:textId="77777777" w:rsidR="000738F8" w:rsidRDefault="000738F8"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49A912B7" w14:textId="77777777"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 xml:space="preserve">DAP Delivery </w:t>
      </w:r>
      <w:proofErr w:type="gramStart"/>
      <w:r w:rsidRPr="007B42F3">
        <w:rPr>
          <w:rFonts w:ascii="Times New Roman" w:hAnsi="Times New Roman" w:cs="Times New Roman"/>
          <w:sz w:val="16"/>
          <w:szCs w:val="16"/>
          <w:lang w:val="en-GB"/>
        </w:rPr>
        <w:t>At</w:t>
      </w:r>
      <w:proofErr w:type="gramEnd"/>
      <w:r w:rsidRPr="007B42F3">
        <w:rPr>
          <w:rFonts w:ascii="Times New Roman" w:hAnsi="Times New Roman" w:cs="Times New Roman"/>
          <w:sz w:val="16"/>
          <w:szCs w:val="16"/>
          <w:lang w:val="en-GB"/>
        </w:rPr>
        <w:t xml:space="preserve"> Place) —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763FD6E9" w14:textId="77777777" w:rsidR="007B42F3" w:rsidRDefault="007B42F3" w:rsidP="007B42F3">
      <w:pPr>
        <w:pStyle w:val="FootnoteText"/>
        <w:rPr>
          <w:lang w:val="en-GB"/>
        </w:rPr>
      </w:pPr>
    </w:p>
  </w:footnote>
  <w:footnote w:id="4">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w:t>
      </w:r>
      <w:proofErr w:type="gramStart"/>
      <w:r>
        <w:rPr>
          <w:rFonts w:ascii="Times New Roman" w:hAnsi="Times New Roman"/>
          <w:sz w:val="18"/>
          <w:lang w:val="en-GB"/>
        </w:rPr>
        <w:t>At</w:t>
      </w:r>
      <w:proofErr w:type="gramEnd"/>
      <w:r>
        <w:rPr>
          <w:rFonts w:ascii="Times New Roman" w:hAnsi="Times New Roman"/>
          <w:sz w:val="18"/>
          <w:lang w:val="en-GB"/>
        </w:rPr>
        <w:t xml:space="preserve">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1"/>
  </w:num>
  <w:num w:numId="4" w16cid:durableId="1689868148">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32104"/>
    <w:rsid w:val="00062D8C"/>
    <w:rsid w:val="000738F8"/>
    <w:rsid w:val="000C50AD"/>
    <w:rsid w:val="000D2056"/>
    <w:rsid w:val="000E087D"/>
    <w:rsid w:val="0015027D"/>
    <w:rsid w:val="00184A2C"/>
    <w:rsid w:val="001D711A"/>
    <w:rsid w:val="0023515D"/>
    <w:rsid w:val="00262679"/>
    <w:rsid w:val="002960C9"/>
    <w:rsid w:val="0037392C"/>
    <w:rsid w:val="003B0879"/>
    <w:rsid w:val="0040445A"/>
    <w:rsid w:val="00466B26"/>
    <w:rsid w:val="00483B91"/>
    <w:rsid w:val="004B09E3"/>
    <w:rsid w:val="004F555C"/>
    <w:rsid w:val="0052027D"/>
    <w:rsid w:val="00570C4B"/>
    <w:rsid w:val="00595955"/>
    <w:rsid w:val="00595D42"/>
    <w:rsid w:val="005F650E"/>
    <w:rsid w:val="00615516"/>
    <w:rsid w:val="00662C11"/>
    <w:rsid w:val="0067009F"/>
    <w:rsid w:val="00692E1C"/>
    <w:rsid w:val="006B5E31"/>
    <w:rsid w:val="00711542"/>
    <w:rsid w:val="007273E7"/>
    <w:rsid w:val="0074734F"/>
    <w:rsid w:val="007676D7"/>
    <w:rsid w:val="007B42F3"/>
    <w:rsid w:val="007C7728"/>
    <w:rsid w:val="007D5A1C"/>
    <w:rsid w:val="007E6F09"/>
    <w:rsid w:val="00804633"/>
    <w:rsid w:val="008339B2"/>
    <w:rsid w:val="008E66AA"/>
    <w:rsid w:val="00917BD0"/>
    <w:rsid w:val="0094757B"/>
    <w:rsid w:val="009574E7"/>
    <w:rsid w:val="00A81E91"/>
    <w:rsid w:val="00A8690A"/>
    <w:rsid w:val="00B23B46"/>
    <w:rsid w:val="00B37C93"/>
    <w:rsid w:val="00BA7840"/>
    <w:rsid w:val="00BC33F2"/>
    <w:rsid w:val="00BC3FF7"/>
    <w:rsid w:val="00BD0B8E"/>
    <w:rsid w:val="00BF5DA2"/>
    <w:rsid w:val="00C1544F"/>
    <w:rsid w:val="00C6673C"/>
    <w:rsid w:val="00C6771E"/>
    <w:rsid w:val="00D0592F"/>
    <w:rsid w:val="00D201A7"/>
    <w:rsid w:val="00D52199"/>
    <w:rsid w:val="00D643A0"/>
    <w:rsid w:val="00D8515E"/>
    <w:rsid w:val="00DC347D"/>
    <w:rsid w:val="00EB5061"/>
    <w:rsid w:val="00ED2BCD"/>
    <w:rsid w:val="00F10637"/>
    <w:rsid w:val="00F47FF6"/>
    <w:rsid w:val="00F5453F"/>
    <w:rsid w:val="00FB2E10"/>
    <w:rsid w:val="00FF5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semiHidden/>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36PNQURX5RKK-1756048454-200730</_dlc_DocId>
    <_dlc_DocIdUrl xmlns="65e037ea-5baf-40e5-a049-24e64701385b">
      <Url>https://eumm.sharepoint.com/sites/PROCUREMENTDocumentCenter/_layouts/15/DocIdRedir.aspx?ID=36PNQURX5RKK-1756048454-200730</Url>
      <Description>36PNQURX5RKK-1756048454-200730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B8477-EDFF-43F8-B49C-1EB98A1A6227}">
  <ds:schemaRefs>
    <ds:schemaRef ds:uri="http://schemas.microsoft.com/sharepoint/events"/>
  </ds:schemaRefs>
</ds:datastoreItem>
</file>

<file path=customXml/itemProps2.xml><?xml version="1.0" encoding="utf-8"?>
<ds:datastoreItem xmlns:ds="http://schemas.openxmlformats.org/officeDocument/2006/customXml" ds:itemID="{D5CDD567-525C-464B-B092-AD6CC7138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32F5A-8C60-4A36-A11C-5FD631D0E740}">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07C314FD-CD72-4846-B622-13A5EA9D619B}">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192</TotalTime>
  <Pages>7</Pages>
  <Words>1924</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Eduard Daniel Toma</cp:lastModifiedBy>
  <cp:revision>54</cp:revision>
  <dcterms:created xsi:type="dcterms:W3CDTF">2023-04-21T11:10:00Z</dcterms:created>
  <dcterms:modified xsi:type="dcterms:W3CDTF">2024-02-27T05:13:00Z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dba44c60-0cba-4bde-8d1b-2ef25c847a20</vt:lpwstr>
  </property>
</Properties>
</file>