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2D675BB2"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7878EF">
        <w:rPr>
          <w:sz w:val="22"/>
          <w:lang w:val="en-GB"/>
        </w:rPr>
        <w:t>2</w:t>
      </w:r>
      <w:r w:rsidR="005703D0">
        <w:rPr>
          <w:sz w:val="22"/>
          <w:lang w:val="en-GB"/>
        </w:rPr>
        <w:t>4</w:t>
      </w:r>
      <w:r w:rsidR="002E064D" w:rsidRPr="002E064D">
        <w:rPr>
          <w:sz w:val="22"/>
          <w:lang w:val="en-GB"/>
        </w:rPr>
        <w:t>-</w:t>
      </w:r>
      <w:r w:rsidR="005703D0">
        <w:rPr>
          <w:sz w:val="22"/>
          <w:lang w:val="en-GB"/>
        </w:rPr>
        <w:t>9133</w:t>
      </w:r>
    </w:p>
    <w:p w14:paraId="00AB8AFB" w14:textId="72825EFF"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5703D0" w:rsidRPr="005703D0">
        <w:rPr>
          <w:rStyle w:val="Strong"/>
          <w:b/>
          <w:sz w:val="22"/>
          <w:szCs w:val="22"/>
          <w:lang w:val="en-GB"/>
        </w:rPr>
        <w:t>Supply and Delivery of Observation and patrolling equipment</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64a I. Chavchavadze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A26D30">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196B7C9" w:rsidR="00C61F8F" w:rsidRPr="00A42BA0" w:rsidRDefault="00A42BA0" w:rsidP="00291377">
            <w:pPr>
              <w:keepNext/>
              <w:keepLines/>
              <w:widowControl w:val="0"/>
              <w:jc w:val="center"/>
              <w:rPr>
                <w:b/>
              </w:rPr>
            </w:pPr>
            <w:r w:rsidRPr="00A42BA0">
              <w:rPr>
                <w:b/>
                <w:color w:val="000000"/>
              </w:rPr>
              <w:t>202</w:t>
            </w:r>
            <w:r w:rsidR="00B56928">
              <w:rPr>
                <w:b/>
                <w:color w:val="000000"/>
              </w:rPr>
              <w:t>1</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68F21AB" w:rsidR="00C61F8F" w:rsidRPr="00A42BA0" w:rsidRDefault="00A42BA0" w:rsidP="00291377">
            <w:pPr>
              <w:keepNext/>
              <w:keepLines/>
              <w:widowControl w:val="0"/>
              <w:jc w:val="center"/>
              <w:rPr>
                <w:b/>
              </w:rPr>
            </w:pPr>
            <w:r w:rsidRPr="00A42BA0">
              <w:rPr>
                <w:b/>
                <w:color w:val="000000"/>
              </w:rPr>
              <w:t>202</w:t>
            </w:r>
            <w:r w:rsidR="00B56928">
              <w:rPr>
                <w:b/>
                <w:color w:val="000000"/>
              </w:rPr>
              <w:t>2</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3A170422" w:rsidR="00C61F8F" w:rsidRPr="00A42BA0" w:rsidRDefault="00A42BA0" w:rsidP="00291377">
            <w:pPr>
              <w:keepNext/>
              <w:keepLines/>
              <w:widowControl w:val="0"/>
              <w:jc w:val="center"/>
              <w:rPr>
                <w:b/>
              </w:rPr>
            </w:pPr>
            <w:r w:rsidRPr="00A42BA0">
              <w:rPr>
                <w:b/>
                <w:color w:val="000000"/>
              </w:rPr>
              <w:t>202</w:t>
            </w:r>
            <w:r w:rsidR="00B56928">
              <w:rPr>
                <w:b/>
                <w:color w:val="000000"/>
              </w:rPr>
              <w:t>3</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565E689A" w:rsidR="00C61F8F" w:rsidRPr="00A42BA0" w:rsidRDefault="00A42BA0" w:rsidP="00291377">
            <w:pPr>
              <w:keepNext/>
              <w:keepLines/>
              <w:widowControl w:val="0"/>
              <w:jc w:val="center"/>
              <w:rPr>
                <w:b/>
              </w:rPr>
            </w:pPr>
            <w:r w:rsidRPr="00A42BA0">
              <w:rPr>
                <w:b/>
                <w:color w:val="000000"/>
              </w:rPr>
              <w:t>202</w:t>
            </w:r>
            <w:r w:rsidR="00B56928">
              <w:rPr>
                <w:b/>
                <w:color w:val="000000"/>
              </w:rPr>
              <w:t>1</w:t>
            </w:r>
            <w:r w:rsidRPr="00A42BA0">
              <w:rPr>
                <w:b/>
                <w:color w:val="000000"/>
              </w:rPr>
              <w:t>-202</w:t>
            </w:r>
            <w:r w:rsidR="00B56928">
              <w:rPr>
                <w:b/>
                <w:color w:val="000000"/>
              </w:rPr>
              <w:t>3</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tbl>
      <w:tblPr>
        <w:tblW w:w="10067"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0067"/>
      </w:tblGrid>
      <w:tr w:rsidR="004127F1" w:rsidRPr="006A5F84" w14:paraId="3DF615D6" w14:textId="77777777" w:rsidTr="00322BEA">
        <w:trPr>
          <w:cantSplit/>
          <w:trHeight w:val="470"/>
        </w:trPr>
        <w:tc>
          <w:tcPr>
            <w:tcW w:w="10067" w:type="dxa"/>
            <w:tcBorders>
              <w:top w:val="single" w:sz="4" w:space="0" w:color="auto"/>
              <w:left w:val="single" w:sz="4" w:space="0" w:color="auto"/>
              <w:bottom w:val="single" w:sz="4" w:space="0" w:color="auto"/>
              <w:right w:val="single" w:sz="4" w:space="0" w:color="auto"/>
            </w:tcBorders>
          </w:tcPr>
          <w:p w14:paraId="15BDA11F" w14:textId="5FEF9013" w:rsidR="004127F1" w:rsidRPr="00001819" w:rsidRDefault="004127F1" w:rsidP="00322BEA">
            <w:pPr>
              <w:widowControl w:val="0"/>
              <w:spacing w:before="60" w:after="60"/>
              <w:jc w:val="both"/>
              <w:rPr>
                <w:b/>
                <w:sz w:val="22"/>
                <w:szCs w:val="22"/>
              </w:rPr>
            </w:pPr>
            <w:r w:rsidRPr="00001819">
              <w:rPr>
                <w:b/>
                <w:sz w:val="22"/>
                <w:szCs w:val="22"/>
              </w:rPr>
              <w:t>Selection criterion for economic and financial capacity</w:t>
            </w:r>
            <w:r w:rsidRPr="00963448">
              <w:rPr>
                <w:b/>
                <w:sz w:val="22"/>
                <w:szCs w:val="22"/>
              </w:rPr>
              <w:t xml:space="preserve"> </w:t>
            </w:r>
            <w:r w:rsidRPr="001D5642">
              <w:rPr>
                <w:b/>
                <w:sz w:val="22"/>
                <w:szCs w:val="22"/>
              </w:rPr>
              <w:t xml:space="preserve">(as per </w:t>
            </w:r>
            <w:r w:rsidR="00A90AA4" w:rsidRPr="001D5642">
              <w:rPr>
                <w:b/>
                <w:sz w:val="22"/>
                <w:szCs w:val="22"/>
              </w:rPr>
              <w:t>art.11 of the Additional information about the contract notice</w:t>
            </w:r>
            <w:r w:rsidRPr="001D5642">
              <w:rPr>
                <w:b/>
                <w:sz w:val="22"/>
                <w:szCs w:val="22"/>
              </w:rPr>
              <w:t>):</w:t>
            </w:r>
          </w:p>
          <w:p w14:paraId="26DAE181" w14:textId="39F33549" w:rsidR="004127F1" w:rsidRDefault="004127F1" w:rsidP="00322BEA">
            <w:pPr>
              <w:pStyle w:val="Blockquote"/>
              <w:numPr>
                <w:ilvl w:val="0"/>
                <w:numId w:val="21"/>
              </w:numPr>
              <w:jc w:val="both"/>
              <w:rPr>
                <w:sz w:val="22"/>
                <w:szCs w:val="22"/>
                <w:lang w:val="en-GB"/>
              </w:rPr>
            </w:pPr>
            <w:r w:rsidRPr="00F02F55">
              <w:rPr>
                <w:sz w:val="22"/>
                <w:szCs w:val="22"/>
                <w:lang w:val="en-GB"/>
              </w:rPr>
              <w:t>The average annual turnover of the tenderer over the period of the past 3 years (for which accounts have been closed, thus, reference period is 202</w:t>
            </w:r>
            <w:r w:rsidR="00894615">
              <w:rPr>
                <w:sz w:val="22"/>
                <w:szCs w:val="22"/>
                <w:lang w:val="en-GB"/>
              </w:rPr>
              <w:t>1</w:t>
            </w:r>
            <w:r w:rsidRPr="00F02F55">
              <w:rPr>
                <w:sz w:val="22"/>
                <w:szCs w:val="22"/>
                <w:lang w:val="en-GB"/>
              </w:rPr>
              <w:t>-202</w:t>
            </w:r>
            <w:r w:rsidR="00894615">
              <w:rPr>
                <w:sz w:val="22"/>
                <w:szCs w:val="22"/>
                <w:lang w:val="en-GB"/>
              </w:rPr>
              <w:t>2</w:t>
            </w:r>
            <w:r w:rsidRPr="00F02F55">
              <w:rPr>
                <w:sz w:val="22"/>
                <w:szCs w:val="22"/>
                <w:lang w:val="en-GB"/>
              </w:rPr>
              <w:t>-202</w:t>
            </w:r>
            <w:r w:rsidR="00894615">
              <w:rPr>
                <w:sz w:val="22"/>
                <w:szCs w:val="22"/>
                <w:lang w:val="en-GB"/>
              </w:rPr>
              <w:t>3</w:t>
            </w:r>
            <w:r w:rsidRPr="00F02F55">
              <w:rPr>
                <w:sz w:val="22"/>
                <w:szCs w:val="22"/>
                <w:lang w:val="en-GB"/>
              </w:rPr>
              <w:t xml:space="preserve"> years) must be equal or exceed</w:t>
            </w:r>
            <w:r>
              <w:rPr>
                <w:sz w:val="22"/>
                <w:szCs w:val="22"/>
                <w:lang w:val="en-GB"/>
              </w:rPr>
              <w:t>:</w:t>
            </w:r>
          </w:p>
          <w:p w14:paraId="3609D107" w14:textId="656E75D1" w:rsidR="004127F1" w:rsidRDefault="004127F1" w:rsidP="00322BEA">
            <w:pPr>
              <w:pStyle w:val="Blockquote"/>
              <w:numPr>
                <w:ilvl w:val="1"/>
                <w:numId w:val="21"/>
              </w:numPr>
              <w:snapToGrid w:val="0"/>
              <w:ind w:right="357"/>
              <w:jc w:val="both"/>
              <w:rPr>
                <w:sz w:val="22"/>
                <w:szCs w:val="22"/>
              </w:rPr>
            </w:pPr>
            <w:r>
              <w:rPr>
                <w:sz w:val="22"/>
                <w:szCs w:val="22"/>
              </w:rPr>
              <w:t xml:space="preserve">For Lot 1 - </w:t>
            </w:r>
            <w:r w:rsidR="0082768A">
              <w:rPr>
                <w:sz w:val="22"/>
                <w:szCs w:val="22"/>
              </w:rPr>
              <w:t>55</w:t>
            </w:r>
            <w:r>
              <w:rPr>
                <w:sz w:val="22"/>
                <w:szCs w:val="22"/>
              </w:rPr>
              <w:t xml:space="preserve">,000.00 EUR.  </w:t>
            </w:r>
          </w:p>
          <w:p w14:paraId="31A4D81B" w14:textId="3131A6B9" w:rsidR="004127F1" w:rsidRDefault="004127F1" w:rsidP="00322BEA">
            <w:pPr>
              <w:pStyle w:val="Blockquote"/>
              <w:numPr>
                <w:ilvl w:val="1"/>
                <w:numId w:val="21"/>
              </w:numPr>
              <w:snapToGrid w:val="0"/>
              <w:ind w:right="357"/>
              <w:jc w:val="both"/>
              <w:rPr>
                <w:sz w:val="22"/>
                <w:szCs w:val="22"/>
              </w:rPr>
            </w:pPr>
            <w:r>
              <w:rPr>
                <w:sz w:val="22"/>
                <w:szCs w:val="22"/>
              </w:rPr>
              <w:t xml:space="preserve">For Lot 2 - </w:t>
            </w:r>
            <w:r w:rsidR="0082768A">
              <w:rPr>
                <w:sz w:val="22"/>
                <w:szCs w:val="22"/>
              </w:rPr>
              <w:t>10</w:t>
            </w:r>
            <w:r>
              <w:rPr>
                <w:sz w:val="22"/>
                <w:szCs w:val="22"/>
              </w:rPr>
              <w:t>,</w:t>
            </w:r>
            <w:r w:rsidR="0082768A">
              <w:rPr>
                <w:sz w:val="22"/>
                <w:szCs w:val="22"/>
              </w:rPr>
              <w:t>8</w:t>
            </w:r>
            <w:r>
              <w:rPr>
                <w:sz w:val="22"/>
                <w:szCs w:val="22"/>
              </w:rPr>
              <w:t>00.00 EUR.</w:t>
            </w:r>
          </w:p>
          <w:p w14:paraId="1C034021" w14:textId="145F54D6" w:rsidR="004127F1" w:rsidRDefault="004127F1" w:rsidP="00322BEA">
            <w:pPr>
              <w:pStyle w:val="Blockquote"/>
              <w:numPr>
                <w:ilvl w:val="1"/>
                <w:numId w:val="21"/>
              </w:numPr>
              <w:snapToGrid w:val="0"/>
              <w:ind w:right="357"/>
              <w:jc w:val="both"/>
              <w:rPr>
                <w:sz w:val="22"/>
                <w:szCs w:val="22"/>
              </w:rPr>
            </w:pPr>
            <w:r>
              <w:rPr>
                <w:sz w:val="22"/>
                <w:szCs w:val="22"/>
              </w:rPr>
              <w:t xml:space="preserve">For Lot 3 - </w:t>
            </w:r>
            <w:r w:rsidR="0082768A">
              <w:rPr>
                <w:sz w:val="22"/>
                <w:szCs w:val="22"/>
              </w:rPr>
              <w:t>3</w:t>
            </w:r>
            <w:r w:rsidR="007E0A2D">
              <w:rPr>
                <w:sz w:val="22"/>
                <w:szCs w:val="22"/>
              </w:rPr>
              <w:t>8</w:t>
            </w:r>
            <w:r>
              <w:rPr>
                <w:sz w:val="22"/>
                <w:szCs w:val="22"/>
              </w:rPr>
              <w:t>,000.00 EUR</w:t>
            </w:r>
          </w:p>
          <w:p w14:paraId="43BFEDEE" w14:textId="3EFD4198" w:rsidR="004127F1" w:rsidRDefault="004127F1" w:rsidP="00322BEA">
            <w:pPr>
              <w:pStyle w:val="Blockquote"/>
              <w:numPr>
                <w:ilvl w:val="1"/>
                <w:numId w:val="21"/>
              </w:numPr>
              <w:snapToGrid w:val="0"/>
              <w:ind w:right="357"/>
              <w:jc w:val="both"/>
              <w:rPr>
                <w:sz w:val="22"/>
                <w:szCs w:val="22"/>
              </w:rPr>
            </w:pPr>
            <w:r>
              <w:rPr>
                <w:sz w:val="22"/>
                <w:szCs w:val="22"/>
              </w:rPr>
              <w:t xml:space="preserve">For Lot </w:t>
            </w:r>
            <w:r w:rsidR="00894615">
              <w:rPr>
                <w:sz w:val="22"/>
                <w:szCs w:val="22"/>
              </w:rPr>
              <w:t>4</w:t>
            </w:r>
            <w:r>
              <w:rPr>
                <w:sz w:val="22"/>
                <w:szCs w:val="22"/>
              </w:rPr>
              <w:t xml:space="preserve"> - </w:t>
            </w:r>
            <w:r w:rsidR="00D95DBC">
              <w:rPr>
                <w:sz w:val="22"/>
                <w:szCs w:val="22"/>
              </w:rPr>
              <w:t>30</w:t>
            </w:r>
            <w:r>
              <w:rPr>
                <w:sz w:val="22"/>
                <w:szCs w:val="22"/>
              </w:rPr>
              <w:t>,</w:t>
            </w:r>
            <w:r w:rsidR="00D95DBC">
              <w:rPr>
                <w:sz w:val="22"/>
                <w:szCs w:val="22"/>
              </w:rPr>
              <w:t>4</w:t>
            </w:r>
            <w:r>
              <w:rPr>
                <w:sz w:val="22"/>
                <w:szCs w:val="22"/>
              </w:rPr>
              <w:t>00.00 EUR</w:t>
            </w:r>
          </w:p>
          <w:p w14:paraId="3517A94A" w14:textId="58EC8776" w:rsidR="004127F1" w:rsidRPr="00812C24" w:rsidRDefault="004127F1" w:rsidP="00322BEA">
            <w:pPr>
              <w:pStyle w:val="Blockquote"/>
              <w:numPr>
                <w:ilvl w:val="1"/>
                <w:numId w:val="21"/>
              </w:numPr>
              <w:snapToGrid w:val="0"/>
              <w:ind w:right="357"/>
              <w:jc w:val="both"/>
              <w:rPr>
                <w:sz w:val="22"/>
                <w:szCs w:val="22"/>
              </w:rPr>
            </w:pPr>
            <w:r>
              <w:rPr>
                <w:sz w:val="22"/>
                <w:szCs w:val="22"/>
              </w:rPr>
              <w:t xml:space="preserve">For Lot </w:t>
            </w:r>
            <w:r w:rsidR="00894615">
              <w:rPr>
                <w:sz w:val="22"/>
                <w:szCs w:val="22"/>
              </w:rPr>
              <w:t>5</w:t>
            </w:r>
            <w:r>
              <w:rPr>
                <w:sz w:val="22"/>
                <w:szCs w:val="22"/>
              </w:rPr>
              <w:t xml:space="preserve"> - </w:t>
            </w:r>
            <w:r w:rsidR="00D95DBC">
              <w:rPr>
                <w:sz w:val="22"/>
                <w:szCs w:val="22"/>
              </w:rPr>
              <w:t>3</w:t>
            </w:r>
            <w:r>
              <w:rPr>
                <w:sz w:val="22"/>
                <w:szCs w:val="22"/>
              </w:rPr>
              <w:t>,</w:t>
            </w:r>
            <w:r w:rsidR="00D95DBC">
              <w:rPr>
                <w:sz w:val="22"/>
                <w:szCs w:val="22"/>
              </w:rPr>
              <w:t>8</w:t>
            </w:r>
            <w:r>
              <w:rPr>
                <w:sz w:val="22"/>
                <w:szCs w:val="22"/>
              </w:rPr>
              <w:t>00.00 EUR</w:t>
            </w:r>
          </w:p>
          <w:p w14:paraId="67C64FF3" w14:textId="1900155A" w:rsidR="004127F1" w:rsidRPr="00F832B1" w:rsidRDefault="004127F1" w:rsidP="00322BEA">
            <w:pPr>
              <w:pStyle w:val="Blockquote"/>
              <w:ind w:left="717" w:right="357"/>
              <w:jc w:val="both"/>
              <w:rPr>
                <w:b/>
                <w:bCs/>
                <w:sz w:val="22"/>
                <w:szCs w:val="22"/>
              </w:rPr>
            </w:pPr>
            <w:r>
              <w:rPr>
                <w:b/>
                <w:bCs/>
                <w:sz w:val="22"/>
                <w:szCs w:val="22"/>
              </w:rPr>
              <w:t>If a tenderer is bidding for more than one lot, the average annual turnover must exceed the cumulative amount of all selection criteria per lot (indicated above). For example, in case of bidding for lots 1 and 2, the average annual turnover must be equal or exceed 6</w:t>
            </w:r>
            <w:r w:rsidR="00D95DBC">
              <w:rPr>
                <w:b/>
                <w:bCs/>
                <w:sz w:val="22"/>
                <w:szCs w:val="22"/>
              </w:rPr>
              <w:t>5</w:t>
            </w:r>
            <w:r>
              <w:rPr>
                <w:b/>
                <w:bCs/>
                <w:sz w:val="22"/>
                <w:szCs w:val="22"/>
              </w:rPr>
              <w:t>,</w:t>
            </w:r>
            <w:r w:rsidR="00D95DBC">
              <w:rPr>
                <w:b/>
                <w:bCs/>
                <w:sz w:val="22"/>
                <w:szCs w:val="22"/>
              </w:rPr>
              <w:t>8</w:t>
            </w:r>
            <w:r>
              <w:rPr>
                <w:b/>
                <w:bCs/>
                <w:sz w:val="22"/>
                <w:szCs w:val="22"/>
              </w:rPr>
              <w:t>00.00 EUR (</w:t>
            </w:r>
            <w:r w:rsidR="00D95DBC">
              <w:rPr>
                <w:b/>
                <w:bCs/>
                <w:sz w:val="22"/>
                <w:szCs w:val="22"/>
              </w:rPr>
              <w:t>55</w:t>
            </w:r>
            <w:r>
              <w:rPr>
                <w:b/>
                <w:bCs/>
                <w:sz w:val="22"/>
                <w:szCs w:val="22"/>
              </w:rPr>
              <w:t xml:space="preserve">,000.00 + </w:t>
            </w:r>
            <w:r w:rsidR="00D95DBC">
              <w:rPr>
                <w:b/>
                <w:bCs/>
                <w:sz w:val="22"/>
                <w:szCs w:val="22"/>
              </w:rPr>
              <w:t>10</w:t>
            </w:r>
            <w:r>
              <w:rPr>
                <w:b/>
                <w:bCs/>
                <w:sz w:val="22"/>
                <w:szCs w:val="22"/>
              </w:rPr>
              <w:t>,</w:t>
            </w:r>
            <w:r w:rsidR="00D95DBC">
              <w:rPr>
                <w:b/>
                <w:bCs/>
                <w:sz w:val="22"/>
                <w:szCs w:val="22"/>
              </w:rPr>
              <w:t>8</w:t>
            </w:r>
            <w:r>
              <w:rPr>
                <w:b/>
                <w:bCs/>
                <w:sz w:val="22"/>
                <w:szCs w:val="22"/>
              </w:rPr>
              <w:t>00.00)</w:t>
            </w:r>
          </w:p>
        </w:tc>
      </w:tr>
    </w:tbl>
    <w:p w14:paraId="285D75EA" w14:textId="77777777" w:rsidR="00D64597" w:rsidRDefault="00D64597" w:rsidP="0047783A">
      <w:pPr>
        <w:keepNext/>
        <w:tabs>
          <w:tab w:val="left" w:pos="360"/>
        </w:tabs>
        <w:spacing w:before="360"/>
        <w:jc w:val="both"/>
        <w:rPr>
          <w:b/>
          <w:sz w:val="28"/>
          <w:szCs w:val="28"/>
        </w:rPr>
        <w:sectPr w:rsidR="00D64597" w:rsidSect="00A26D3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0"/>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1"/>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A26D30">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441A913E" w14:textId="77777777" w:rsidR="00A824E9" w:rsidRDefault="00A824E9" w:rsidP="00782060">
      <w:pPr>
        <w:keepLines/>
        <w:widowControl w:val="0"/>
        <w:jc w:val="both"/>
        <w:rPr>
          <w:b/>
          <w:sz w:val="24"/>
          <w:szCs w:val="24"/>
        </w:rPr>
      </w:pPr>
    </w:p>
    <w:p w14:paraId="40257D76" w14:textId="77777777" w:rsidR="00A824E9" w:rsidRDefault="00A824E9" w:rsidP="00782060">
      <w:pPr>
        <w:keepLines/>
        <w:widowControl w:val="0"/>
        <w:jc w:val="both"/>
        <w:rPr>
          <w:b/>
          <w:sz w:val="24"/>
          <w:szCs w:val="24"/>
        </w:rPr>
      </w:pPr>
    </w:p>
    <w:p w14:paraId="71BB3A76" w14:textId="10DB179C" w:rsidR="00782060" w:rsidRDefault="0047783A" w:rsidP="00782060">
      <w:pPr>
        <w:keepLines/>
        <w:widowControl w:val="0"/>
        <w:jc w:val="both"/>
        <w:rPr>
          <w:b/>
          <w:sz w:val="24"/>
          <w:szCs w:val="24"/>
        </w:rPr>
      </w:pPr>
      <w:r w:rsidRPr="006A5F84">
        <w:rPr>
          <w:b/>
          <w:sz w:val="24"/>
          <w:szCs w:val="24"/>
        </w:rPr>
        <w:t>6</w:t>
      </w:r>
      <w:r w:rsidRPr="006A5F84">
        <w:rPr>
          <w:b/>
          <w:sz w:val="24"/>
          <w:szCs w:val="24"/>
        </w:rPr>
        <w:tab/>
      </w:r>
      <w:proofErr w:type="gramStart"/>
      <w:r w:rsidRPr="006A5F84">
        <w:rPr>
          <w:b/>
          <w:sz w:val="24"/>
          <w:szCs w:val="24"/>
        </w:rPr>
        <w:t>EXPERIENCE</w:t>
      </w:r>
      <w:proofErr w:type="gramEnd"/>
    </w:p>
    <w:p w14:paraId="602AD267" w14:textId="18939B58" w:rsidR="0047783A" w:rsidRDefault="0047783A" w:rsidP="00782060">
      <w:pPr>
        <w:keepLines/>
        <w:widowControl w:val="0"/>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782060">
            <w:pPr>
              <w:keepNext/>
              <w:keepLines/>
              <w:widowControl w:val="0"/>
              <w:rPr>
                <w:b/>
              </w:rPr>
            </w:pPr>
            <w:r w:rsidRPr="006A5F84">
              <w:rPr>
                <w:b/>
              </w:rPr>
              <w:lastRenderedPageBreak/>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5631B8" w:rsidRPr="006A5F84" w14:paraId="5D7F6330" w14:textId="77777777" w:rsidTr="00DC19D2">
        <w:trPr>
          <w:cantSplit/>
        </w:trPr>
        <w:tc>
          <w:tcPr>
            <w:tcW w:w="14179" w:type="dxa"/>
            <w:gridSpan w:val="9"/>
            <w:tcBorders>
              <w:top w:val="single" w:sz="12" w:space="0" w:color="auto"/>
              <w:left w:val="single" w:sz="4" w:space="0" w:color="auto"/>
              <w:bottom w:val="single" w:sz="4" w:space="0" w:color="auto"/>
              <w:right w:val="single" w:sz="4" w:space="0" w:color="auto"/>
            </w:tcBorders>
          </w:tcPr>
          <w:p w14:paraId="3E9655D9" w14:textId="32EC2C17" w:rsidR="005631B8" w:rsidRDefault="005631B8" w:rsidP="005631B8">
            <w:pPr>
              <w:keepNext/>
              <w:keepLines/>
              <w:widowControl w:val="0"/>
              <w:rPr>
                <w:b/>
                <w:sz w:val="22"/>
                <w:szCs w:val="22"/>
              </w:rPr>
            </w:pPr>
            <w:r w:rsidRPr="00001819">
              <w:rPr>
                <w:b/>
                <w:sz w:val="22"/>
                <w:szCs w:val="22"/>
              </w:rPr>
              <w:lastRenderedPageBreak/>
              <w:t xml:space="preserve">Selection criterion for </w:t>
            </w:r>
            <w:r w:rsidRPr="001D5642">
              <w:rPr>
                <w:b/>
                <w:sz w:val="22"/>
                <w:szCs w:val="22"/>
              </w:rPr>
              <w:t>economic and financial capacity (as per art.1</w:t>
            </w:r>
            <w:r w:rsidR="00A90AA4" w:rsidRPr="001D5642">
              <w:rPr>
                <w:b/>
                <w:sz w:val="22"/>
                <w:szCs w:val="22"/>
              </w:rPr>
              <w:t>1</w:t>
            </w:r>
            <w:r w:rsidRPr="001D5642">
              <w:rPr>
                <w:b/>
                <w:sz w:val="22"/>
                <w:szCs w:val="22"/>
              </w:rPr>
              <w:t xml:space="preserve"> of the </w:t>
            </w:r>
            <w:r w:rsidR="00A90AA4" w:rsidRPr="001D5642">
              <w:rPr>
                <w:b/>
                <w:sz w:val="22"/>
                <w:szCs w:val="22"/>
              </w:rPr>
              <w:t>Additional information about the contract notice</w:t>
            </w:r>
            <w:r w:rsidRPr="001D5642">
              <w:rPr>
                <w:b/>
                <w:sz w:val="22"/>
                <w:szCs w:val="22"/>
              </w:rPr>
              <w:t>):</w:t>
            </w:r>
          </w:p>
          <w:p w14:paraId="28683DA6" w14:textId="77777777" w:rsidR="005631B8" w:rsidRPr="001F2457" w:rsidRDefault="005631B8" w:rsidP="005631B8">
            <w:pPr>
              <w:pStyle w:val="Blockquote"/>
              <w:tabs>
                <w:tab w:val="left" w:pos="284"/>
              </w:tabs>
              <w:ind w:left="0"/>
              <w:jc w:val="both"/>
              <w:rPr>
                <w:sz w:val="22"/>
                <w:szCs w:val="22"/>
              </w:rPr>
            </w:pPr>
            <w:r w:rsidRPr="00E6217E">
              <w:rPr>
                <w:bCs/>
                <w:snapToGrid/>
                <w:sz w:val="22"/>
                <w:lang w:eastAsia="fr-FR"/>
              </w:rPr>
              <w:t>T</w:t>
            </w:r>
            <w:r>
              <w:rPr>
                <w:sz w:val="22"/>
                <w:szCs w:val="22"/>
              </w:rPr>
              <w:t xml:space="preserve">he tenderer has delivered supplies under at least one contract, implemented at any moment during the past three years preceding the submission deadline, with a budget of at least the amount indicated below under each lot, for the supply of goods which should be the same or </w:t>
            </w:r>
            <w:proofErr w:type="gramStart"/>
            <w:r>
              <w:rPr>
                <w:sz w:val="22"/>
                <w:szCs w:val="22"/>
              </w:rPr>
              <w:t>similar to</w:t>
            </w:r>
            <w:proofErr w:type="gramEnd"/>
            <w:r>
              <w:rPr>
                <w:sz w:val="22"/>
                <w:szCs w:val="22"/>
              </w:rPr>
              <w:t xml:space="preserve"> the ones described in the Annex II and III - Technical Specifications and Technical Offer per each lot</w:t>
            </w:r>
            <w:r>
              <w:rPr>
                <w:b/>
                <w:snapToGrid/>
                <w:sz w:val="22"/>
                <w:szCs w:val="22"/>
                <w:lang w:eastAsia="fr-FR"/>
              </w:rPr>
              <w:t xml:space="preserve">: </w:t>
            </w:r>
          </w:p>
          <w:p w14:paraId="4211DEA6" w14:textId="1625C946" w:rsidR="005631B8" w:rsidRDefault="005631B8" w:rsidP="005631B8">
            <w:pPr>
              <w:pStyle w:val="Blockquote"/>
              <w:numPr>
                <w:ilvl w:val="1"/>
                <w:numId w:val="22"/>
              </w:numPr>
              <w:snapToGrid w:val="0"/>
              <w:ind w:right="357"/>
              <w:jc w:val="both"/>
              <w:rPr>
                <w:sz w:val="22"/>
                <w:szCs w:val="22"/>
              </w:rPr>
            </w:pPr>
            <w:r>
              <w:rPr>
                <w:sz w:val="22"/>
                <w:szCs w:val="22"/>
              </w:rPr>
              <w:t xml:space="preserve">For Lot 1 - </w:t>
            </w:r>
            <w:r w:rsidR="00CE5C02">
              <w:rPr>
                <w:sz w:val="22"/>
                <w:szCs w:val="22"/>
              </w:rPr>
              <w:t>13</w:t>
            </w:r>
            <w:r>
              <w:rPr>
                <w:sz w:val="22"/>
                <w:szCs w:val="22"/>
              </w:rPr>
              <w:t>,</w:t>
            </w:r>
            <w:r w:rsidR="00CE5C02">
              <w:rPr>
                <w:sz w:val="22"/>
                <w:szCs w:val="22"/>
              </w:rPr>
              <w:t>75</w:t>
            </w:r>
            <w:r>
              <w:rPr>
                <w:sz w:val="22"/>
                <w:szCs w:val="22"/>
              </w:rPr>
              <w:t xml:space="preserve">0.00 EUR.  </w:t>
            </w:r>
          </w:p>
          <w:p w14:paraId="42975BDF" w14:textId="63D72F0F" w:rsidR="005631B8" w:rsidRDefault="005631B8" w:rsidP="005631B8">
            <w:pPr>
              <w:pStyle w:val="Blockquote"/>
              <w:numPr>
                <w:ilvl w:val="1"/>
                <w:numId w:val="22"/>
              </w:numPr>
              <w:snapToGrid w:val="0"/>
              <w:ind w:right="357"/>
              <w:jc w:val="both"/>
              <w:rPr>
                <w:sz w:val="22"/>
                <w:szCs w:val="22"/>
              </w:rPr>
            </w:pPr>
            <w:r>
              <w:rPr>
                <w:sz w:val="22"/>
                <w:szCs w:val="22"/>
              </w:rPr>
              <w:t xml:space="preserve">For Lot 2 - </w:t>
            </w:r>
            <w:r w:rsidR="00263D1A">
              <w:rPr>
                <w:sz w:val="22"/>
                <w:szCs w:val="22"/>
              </w:rPr>
              <w:t>2</w:t>
            </w:r>
            <w:r>
              <w:rPr>
                <w:sz w:val="22"/>
                <w:szCs w:val="22"/>
              </w:rPr>
              <w:t>,</w:t>
            </w:r>
            <w:r w:rsidR="00263D1A">
              <w:rPr>
                <w:sz w:val="22"/>
                <w:szCs w:val="22"/>
              </w:rPr>
              <w:t>7</w:t>
            </w:r>
            <w:r>
              <w:rPr>
                <w:sz w:val="22"/>
                <w:szCs w:val="22"/>
              </w:rPr>
              <w:t>00.00 EUR.</w:t>
            </w:r>
          </w:p>
          <w:p w14:paraId="43AC647C" w14:textId="7EB598EA" w:rsidR="005631B8" w:rsidRDefault="005631B8" w:rsidP="005631B8">
            <w:pPr>
              <w:pStyle w:val="Blockquote"/>
              <w:numPr>
                <w:ilvl w:val="1"/>
                <w:numId w:val="22"/>
              </w:numPr>
              <w:snapToGrid w:val="0"/>
              <w:ind w:right="357"/>
              <w:jc w:val="both"/>
              <w:rPr>
                <w:sz w:val="22"/>
                <w:szCs w:val="22"/>
              </w:rPr>
            </w:pPr>
            <w:r>
              <w:rPr>
                <w:sz w:val="22"/>
                <w:szCs w:val="22"/>
              </w:rPr>
              <w:t xml:space="preserve">For Lot 3 - </w:t>
            </w:r>
            <w:r w:rsidR="00263D1A">
              <w:rPr>
                <w:sz w:val="22"/>
                <w:szCs w:val="22"/>
              </w:rPr>
              <w:t>9</w:t>
            </w:r>
            <w:r>
              <w:rPr>
                <w:sz w:val="22"/>
                <w:szCs w:val="22"/>
              </w:rPr>
              <w:t>,500.00 EUR</w:t>
            </w:r>
          </w:p>
          <w:p w14:paraId="4797C728" w14:textId="5DEE674B" w:rsidR="005631B8" w:rsidRDefault="005631B8" w:rsidP="005631B8">
            <w:pPr>
              <w:pStyle w:val="Blockquote"/>
              <w:numPr>
                <w:ilvl w:val="1"/>
                <w:numId w:val="22"/>
              </w:numPr>
              <w:snapToGrid w:val="0"/>
              <w:ind w:right="357"/>
              <w:jc w:val="both"/>
              <w:rPr>
                <w:sz w:val="22"/>
                <w:szCs w:val="22"/>
              </w:rPr>
            </w:pPr>
            <w:r>
              <w:rPr>
                <w:sz w:val="22"/>
                <w:szCs w:val="22"/>
              </w:rPr>
              <w:t xml:space="preserve">For Lot 4 - </w:t>
            </w:r>
            <w:r w:rsidR="00263D1A">
              <w:rPr>
                <w:sz w:val="22"/>
                <w:szCs w:val="22"/>
              </w:rPr>
              <w:t>7</w:t>
            </w:r>
            <w:r>
              <w:rPr>
                <w:sz w:val="22"/>
                <w:szCs w:val="22"/>
              </w:rPr>
              <w:t>,</w:t>
            </w:r>
            <w:r w:rsidR="00263D1A">
              <w:rPr>
                <w:sz w:val="22"/>
                <w:szCs w:val="22"/>
              </w:rPr>
              <w:t>600</w:t>
            </w:r>
            <w:r>
              <w:rPr>
                <w:sz w:val="22"/>
                <w:szCs w:val="22"/>
              </w:rPr>
              <w:t>.00 EUR</w:t>
            </w:r>
          </w:p>
          <w:p w14:paraId="24C028C4" w14:textId="62A1FC50" w:rsidR="005631B8" w:rsidRPr="00812C24" w:rsidRDefault="005631B8" w:rsidP="005631B8">
            <w:pPr>
              <w:pStyle w:val="Blockquote"/>
              <w:numPr>
                <w:ilvl w:val="1"/>
                <w:numId w:val="22"/>
              </w:numPr>
              <w:snapToGrid w:val="0"/>
              <w:ind w:right="357"/>
              <w:jc w:val="both"/>
              <w:rPr>
                <w:sz w:val="22"/>
                <w:szCs w:val="22"/>
              </w:rPr>
            </w:pPr>
            <w:r>
              <w:rPr>
                <w:sz w:val="22"/>
                <w:szCs w:val="22"/>
              </w:rPr>
              <w:t xml:space="preserve">For Lot 5 - </w:t>
            </w:r>
            <w:r w:rsidR="00263D1A">
              <w:rPr>
                <w:sz w:val="22"/>
                <w:szCs w:val="22"/>
              </w:rPr>
              <w:t>80</w:t>
            </w:r>
            <w:r>
              <w:rPr>
                <w:sz w:val="22"/>
                <w:szCs w:val="22"/>
              </w:rPr>
              <w:t>0.00 EUR</w:t>
            </w:r>
          </w:p>
          <w:p w14:paraId="7AE8BBDE" w14:textId="77777777" w:rsidR="005631B8" w:rsidRDefault="005631B8" w:rsidP="005631B8">
            <w:pPr>
              <w:ind w:right="357"/>
              <w:rPr>
                <w:b/>
                <w:bCs/>
                <w:sz w:val="22"/>
                <w:szCs w:val="22"/>
              </w:rPr>
            </w:pPr>
            <w:r>
              <w:rPr>
                <w:b/>
                <w:bCs/>
                <w:sz w:val="22"/>
                <w:szCs w:val="22"/>
              </w:rPr>
              <w:t>Or</w:t>
            </w:r>
          </w:p>
          <w:p w14:paraId="4D7C3D97" w14:textId="77777777" w:rsidR="005631B8" w:rsidRDefault="005631B8" w:rsidP="005631B8">
            <w:pPr>
              <w:ind w:right="357"/>
              <w:rPr>
                <w:sz w:val="22"/>
                <w:szCs w:val="22"/>
              </w:rPr>
            </w:pPr>
            <w:r>
              <w:rPr>
                <w:sz w:val="22"/>
                <w:szCs w:val="22"/>
              </w:rPr>
              <w:t>the tenderer has completed multiple sales/contracts, implemented at any moment during the past three years preceding the submission deadline, with a total amount of indicated below under each lot, which should be the same or similar supplies to the ones as described in the Annex II+III.</w:t>
            </w:r>
          </w:p>
          <w:p w14:paraId="3253B322" w14:textId="5AD194FF" w:rsidR="005631B8" w:rsidRDefault="005631B8" w:rsidP="005631B8">
            <w:pPr>
              <w:pStyle w:val="Blockquote"/>
              <w:numPr>
                <w:ilvl w:val="1"/>
                <w:numId w:val="22"/>
              </w:numPr>
              <w:snapToGrid w:val="0"/>
              <w:ind w:right="357"/>
              <w:jc w:val="both"/>
              <w:rPr>
                <w:sz w:val="22"/>
                <w:szCs w:val="22"/>
              </w:rPr>
            </w:pPr>
            <w:r>
              <w:rPr>
                <w:sz w:val="22"/>
                <w:szCs w:val="22"/>
              </w:rPr>
              <w:t xml:space="preserve">For Lot 1 - </w:t>
            </w:r>
            <w:r w:rsidR="0040023A">
              <w:rPr>
                <w:sz w:val="22"/>
                <w:szCs w:val="22"/>
              </w:rPr>
              <w:t>27</w:t>
            </w:r>
            <w:r>
              <w:rPr>
                <w:sz w:val="22"/>
                <w:szCs w:val="22"/>
              </w:rPr>
              <w:t>,</w:t>
            </w:r>
            <w:r w:rsidR="0040023A">
              <w:rPr>
                <w:sz w:val="22"/>
                <w:szCs w:val="22"/>
              </w:rPr>
              <w:t>5</w:t>
            </w:r>
            <w:r>
              <w:rPr>
                <w:sz w:val="22"/>
                <w:szCs w:val="22"/>
              </w:rPr>
              <w:t xml:space="preserve">00.00 EUR.  </w:t>
            </w:r>
          </w:p>
          <w:p w14:paraId="500BDAB2" w14:textId="6381CC93" w:rsidR="005631B8" w:rsidRDefault="005631B8" w:rsidP="005631B8">
            <w:pPr>
              <w:pStyle w:val="Blockquote"/>
              <w:numPr>
                <w:ilvl w:val="1"/>
                <w:numId w:val="22"/>
              </w:numPr>
              <w:snapToGrid w:val="0"/>
              <w:ind w:right="357"/>
              <w:jc w:val="both"/>
              <w:rPr>
                <w:sz w:val="22"/>
                <w:szCs w:val="22"/>
              </w:rPr>
            </w:pPr>
            <w:r>
              <w:rPr>
                <w:sz w:val="22"/>
                <w:szCs w:val="22"/>
              </w:rPr>
              <w:t xml:space="preserve">For Lot 2 - </w:t>
            </w:r>
            <w:r w:rsidR="0040023A">
              <w:rPr>
                <w:sz w:val="22"/>
                <w:szCs w:val="22"/>
              </w:rPr>
              <w:t>5</w:t>
            </w:r>
            <w:r>
              <w:rPr>
                <w:sz w:val="22"/>
                <w:szCs w:val="22"/>
              </w:rPr>
              <w:t>,</w:t>
            </w:r>
            <w:r w:rsidR="0040023A">
              <w:rPr>
                <w:sz w:val="22"/>
                <w:szCs w:val="22"/>
              </w:rPr>
              <w:t>4</w:t>
            </w:r>
            <w:r>
              <w:rPr>
                <w:sz w:val="22"/>
                <w:szCs w:val="22"/>
              </w:rPr>
              <w:t>00.00 EUR.</w:t>
            </w:r>
          </w:p>
          <w:p w14:paraId="71D1B31B" w14:textId="78E3BD6F" w:rsidR="005631B8" w:rsidRDefault="005631B8" w:rsidP="005631B8">
            <w:pPr>
              <w:pStyle w:val="Blockquote"/>
              <w:numPr>
                <w:ilvl w:val="1"/>
                <w:numId w:val="22"/>
              </w:numPr>
              <w:snapToGrid w:val="0"/>
              <w:ind w:right="357"/>
              <w:jc w:val="both"/>
              <w:rPr>
                <w:sz w:val="22"/>
                <w:szCs w:val="22"/>
              </w:rPr>
            </w:pPr>
            <w:r>
              <w:rPr>
                <w:sz w:val="22"/>
                <w:szCs w:val="22"/>
              </w:rPr>
              <w:t xml:space="preserve">For Lot 3 - </w:t>
            </w:r>
            <w:r w:rsidR="0040023A">
              <w:rPr>
                <w:sz w:val="22"/>
                <w:szCs w:val="22"/>
              </w:rPr>
              <w:t>19</w:t>
            </w:r>
            <w:r>
              <w:rPr>
                <w:sz w:val="22"/>
                <w:szCs w:val="22"/>
              </w:rPr>
              <w:t>,000.00 EUR</w:t>
            </w:r>
          </w:p>
          <w:p w14:paraId="14D107D9" w14:textId="5F504CD5" w:rsidR="005631B8" w:rsidRDefault="005631B8" w:rsidP="005631B8">
            <w:pPr>
              <w:pStyle w:val="Blockquote"/>
              <w:numPr>
                <w:ilvl w:val="1"/>
                <w:numId w:val="22"/>
              </w:numPr>
              <w:snapToGrid w:val="0"/>
              <w:ind w:right="357"/>
              <w:jc w:val="both"/>
              <w:rPr>
                <w:sz w:val="22"/>
                <w:szCs w:val="22"/>
              </w:rPr>
            </w:pPr>
            <w:r>
              <w:rPr>
                <w:sz w:val="22"/>
                <w:szCs w:val="22"/>
              </w:rPr>
              <w:t xml:space="preserve">For Lot 4 - </w:t>
            </w:r>
            <w:r w:rsidR="00CE5C02">
              <w:rPr>
                <w:sz w:val="22"/>
                <w:szCs w:val="22"/>
              </w:rPr>
              <w:t>15</w:t>
            </w:r>
            <w:r>
              <w:rPr>
                <w:sz w:val="22"/>
                <w:szCs w:val="22"/>
              </w:rPr>
              <w:t>,</w:t>
            </w:r>
            <w:r w:rsidR="00CE5C02">
              <w:rPr>
                <w:sz w:val="22"/>
                <w:szCs w:val="22"/>
              </w:rPr>
              <w:t>20</w:t>
            </w:r>
            <w:r>
              <w:rPr>
                <w:sz w:val="22"/>
                <w:szCs w:val="22"/>
              </w:rPr>
              <w:t>0.00 EUR</w:t>
            </w:r>
          </w:p>
          <w:p w14:paraId="3226DF2F" w14:textId="2669D623" w:rsidR="005631B8" w:rsidRPr="00812C24" w:rsidRDefault="005631B8" w:rsidP="005631B8">
            <w:pPr>
              <w:pStyle w:val="Blockquote"/>
              <w:numPr>
                <w:ilvl w:val="1"/>
                <w:numId w:val="22"/>
              </w:numPr>
              <w:snapToGrid w:val="0"/>
              <w:ind w:right="357"/>
              <w:jc w:val="both"/>
              <w:rPr>
                <w:sz w:val="22"/>
                <w:szCs w:val="22"/>
              </w:rPr>
            </w:pPr>
            <w:r>
              <w:rPr>
                <w:sz w:val="22"/>
                <w:szCs w:val="22"/>
              </w:rPr>
              <w:t xml:space="preserve">For Lot 5 - </w:t>
            </w:r>
            <w:r w:rsidR="00CE5C02">
              <w:rPr>
                <w:sz w:val="22"/>
                <w:szCs w:val="22"/>
              </w:rPr>
              <w:t>1</w:t>
            </w:r>
            <w:r>
              <w:rPr>
                <w:sz w:val="22"/>
                <w:szCs w:val="22"/>
              </w:rPr>
              <w:t>,</w:t>
            </w:r>
            <w:r w:rsidR="00CE5C02">
              <w:rPr>
                <w:sz w:val="22"/>
                <w:szCs w:val="22"/>
              </w:rPr>
              <w:t>6</w:t>
            </w:r>
            <w:r>
              <w:rPr>
                <w:sz w:val="22"/>
                <w:szCs w:val="22"/>
              </w:rPr>
              <w:t>00.00 EUR</w:t>
            </w:r>
          </w:p>
          <w:p w14:paraId="184CCF44" w14:textId="77777777" w:rsidR="005631B8" w:rsidRDefault="005631B8" w:rsidP="005631B8">
            <w:pPr>
              <w:spacing w:before="240"/>
              <w:ind w:left="360"/>
              <w:jc w:val="both"/>
              <w:rPr>
                <w:sz w:val="22"/>
                <w:szCs w:val="22"/>
              </w:rPr>
            </w:pPr>
            <w:r>
              <w:rPr>
                <w:sz w:val="22"/>
                <w:szCs w:val="22"/>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0E1BD9CE" w14:textId="09500FE5" w:rsidR="005631B8" w:rsidRPr="006A5F84" w:rsidRDefault="005631B8" w:rsidP="005631B8">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A26D30">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62D0ECF"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993D6E">
        <w:rPr>
          <w:b/>
          <w:bCs/>
          <w:sz w:val="22"/>
          <w:szCs w:val="22"/>
        </w:rPr>
        <w:t>4</w:t>
      </w:r>
      <w:r w:rsidR="004B7AA4" w:rsidRPr="001363C6">
        <w:rPr>
          <w:b/>
          <w:bCs/>
          <w:sz w:val="22"/>
          <w:szCs w:val="22"/>
        </w:rPr>
        <w:t>-</w:t>
      </w:r>
      <w:r w:rsidR="00993D6E">
        <w:rPr>
          <w:b/>
          <w:bCs/>
          <w:sz w:val="22"/>
          <w:szCs w:val="22"/>
        </w:rPr>
        <w:t>9133</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860D03" w:rsidRPr="00D37E70">
        <w:rPr>
          <w:sz w:val="22"/>
          <w:szCs w:val="22"/>
        </w:rPr>
        <w:t xml:space="preserve">Contract for </w:t>
      </w:r>
      <w:r w:rsidR="00D6027D" w:rsidRPr="00D37E70">
        <w:rPr>
          <w:sz w:val="22"/>
          <w:szCs w:val="22"/>
        </w:rPr>
        <w:t>Supply</w:t>
      </w:r>
      <w:r w:rsidR="00D6027D">
        <w:rPr>
          <w:sz w:val="22"/>
          <w:szCs w:val="22"/>
        </w:rPr>
        <w:t xml:space="preserve"> </w:t>
      </w:r>
      <w:proofErr w:type="spellStart"/>
      <w:r w:rsidR="00993D6E">
        <w:rPr>
          <w:rStyle w:val="Strong"/>
          <w:sz w:val="22"/>
          <w:szCs w:val="22"/>
        </w:rPr>
        <w:t>Supply</w:t>
      </w:r>
      <w:proofErr w:type="spellEnd"/>
      <w:r w:rsidR="00993D6E">
        <w:rPr>
          <w:rStyle w:val="Strong"/>
          <w:sz w:val="22"/>
          <w:szCs w:val="22"/>
        </w:rPr>
        <w:t xml:space="preserve"> and Delivery of Observation and patrolling equipment</w:t>
      </w:r>
      <w:r w:rsidR="00221EDA">
        <w:rPr>
          <w:rStyle w:val="Strong"/>
          <w:sz w:val="22"/>
          <w:szCs w:val="22"/>
        </w:rPr>
        <w:t xml:space="preserve"> </w:t>
      </w:r>
      <w:r w:rsidR="00D6027D" w:rsidRPr="00D37E70">
        <w:rPr>
          <w:sz w:val="22"/>
          <w:szCs w:val="22"/>
        </w:rPr>
        <w:t>to EUMM Georgia</w:t>
      </w:r>
      <w:r w:rsidR="00221EDA">
        <w:rPr>
          <w:sz w:val="22"/>
          <w:szCs w:val="22"/>
        </w:rPr>
        <w:t xml:space="preserve"> in </w:t>
      </w:r>
      <w:r w:rsidR="00993D6E">
        <w:rPr>
          <w:sz w:val="22"/>
          <w:szCs w:val="22"/>
        </w:rPr>
        <w:t>five</w:t>
      </w:r>
      <w:r w:rsidR="00221EDA">
        <w:rPr>
          <w:sz w:val="22"/>
          <w:szCs w:val="22"/>
        </w:rPr>
        <w:t xml:space="preserve"> lots</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4126176F" w14:textId="47B60F6A" w:rsidR="00CF05FE" w:rsidRPr="00CF05FE" w:rsidRDefault="00CF05FE" w:rsidP="00CF05FE">
      <w:pPr>
        <w:spacing w:before="120"/>
        <w:ind w:left="706" w:firstLine="14"/>
        <w:jc w:val="both"/>
        <w:rPr>
          <w:sz w:val="22"/>
          <w:szCs w:val="22"/>
          <w:highlight w:val="yellow"/>
        </w:rPr>
      </w:pPr>
      <w:r w:rsidRPr="00CF05FE">
        <w:rPr>
          <w:sz w:val="22"/>
          <w:szCs w:val="22"/>
          <w:highlight w:val="yellow"/>
        </w:rPr>
        <w:t>1 LOT - Supply and Delivery of Thermal Imaging Binoculars</w:t>
      </w:r>
    </w:p>
    <w:p w14:paraId="6D5DE15A" w14:textId="77777777" w:rsidR="00CF05FE" w:rsidRPr="00CF05FE" w:rsidRDefault="00CF05FE" w:rsidP="00CF05FE">
      <w:pPr>
        <w:spacing w:before="120"/>
        <w:ind w:left="706" w:firstLine="14"/>
        <w:jc w:val="both"/>
        <w:rPr>
          <w:sz w:val="22"/>
          <w:szCs w:val="22"/>
          <w:highlight w:val="yellow"/>
        </w:rPr>
      </w:pPr>
      <w:r w:rsidRPr="00CF05FE">
        <w:rPr>
          <w:sz w:val="22"/>
          <w:szCs w:val="22"/>
          <w:highlight w:val="yellow"/>
        </w:rPr>
        <w:t>2 LOT - Supply and Delivery of Accessories for thermal imaging binoculars</w:t>
      </w:r>
    </w:p>
    <w:p w14:paraId="459B2657" w14:textId="77777777" w:rsidR="00CF05FE" w:rsidRPr="00CF05FE" w:rsidRDefault="00CF05FE" w:rsidP="00CF05FE">
      <w:pPr>
        <w:spacing w:before="120"/>
        <w:ind w:left="706" w:firstLine="14"/>
        <w:jc w:val="both"/>
        <w:rPr>
          <w:sz w:val="22"/>
          <w:szCs w:val="22"/>
          <w:highlight w:val="yellow"/>
        </w:rPr>
      </w:pPr>
      <w:r w:rsidRPr="00CF05FE">
        <w:rPr>
          <w:sz w:val="22"/>
          <w:szCs w:val="22"/>
          <w:highlight w:val="yellow"/>
        </w:rPr>
        <w:t xml:space="preserve">3 LOT - Supply and Delivery of Binoculars &amp; Laser Range finding </w:t>
      </w:r>
      <w:proofErr w:type="gramStart"/>
      <w:r w:rsidRPr="00CF05FE">
        <w:rPr>
          <w:sz w:val="22"/>
          <w:szCs w:val="22"/>
          <w:highlight w:val="yellow"/>
        </w:rPr>
        <w:t>binoculars</w:t>
      </w:r>
      <w:proofErr w:type="gramEnd"/>
    </w:p>
    <w:p w14:paraId="6C1AC021" w14:textId="77777777" w:rsidR="00CF05FE" w:rsidRPr="00CF05FE" w:rsidRDefault="00CF05FE" w:rsidP="00CF05FE">
      <w:pPr>
        <w:spacing w:before="120"/>
        <w:ind w:left="706" w:firstLine="14"/>
        <w:jc w:val="both"/>
        <w:rPr>
          <w:sz w:val="22"/>
          <w:szCs w:val="22"/>
          <w:highlight w:val="yellow"/>
        </w:rPr>
      </w:pPr>
      <w:r w:rsidRPr="00CF05FE">
        <w:rPr>
          <w:sz w:val="22"/>
          <w:szCs w:val="22"/>
          <w:highlight w:val="yellow"/>
        </w:rPr>
        <w:t>4 LOT - Supply and Delivery of Photo cameras, lenses &amp; accessories</w:t>
      </w:r>
    </w:p>
    <w:p w14:paraId="629B231D" w14:textId="77777777" w:rsidR="00CF05FE" w:rsidRDefault="00CF05FE" w:rsidP="00CF05FE">
      <w:pPr>
        <w:spacing w:before="120"/>
        <w:ind w:left="706" w:firstLine="14"/>
        <w:jc w:val="both"/>
        <w:rPr>
          <w:sz w:val="22"/>
          <w:szCs w:val="22"/>
        </w:rPr>
      </w:pPr>
      <w:r w:rsidRPr="00CF05FE">
        <w:rPr>
          <w:sz w:val="22"/>
          <w:szCs w:val="22"/>
          <w:highlight w:val="yellow"/>
        </w:rPr>
        <w:t>5 LOT - Supply and Delivery of GPS, orientation equipment &amp; accessories</w:t>
      </w:r>
    </w:p>
    <w:p w14:paraId="19D91CBC" w14:textId="637A36F4" w:rsidR="00221EDA" w:rsidRPr="006A5F84" w:rsidRDefault="000944D9" w:rsidP="00CF05FE">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1B2176A3" w:rsidR="00221EDA" w:rsidRDefault="00221EDA" w:rsidP="00221EDA">
      <w:pPr>
        <w:ind w:left="709"/>
        <w:jc w:val="both"/>
        <w:rPr>
          <w:sz w:val="22"/>
          <w:szCs w:val="22"/>
        </w:rPr>
      </w:pPr>
      <w:r w:rsidRPr="006A5F84">
        <w:rPr>
          <w:sz w:val="22"/>
          <w:szCs w:val="22"/>
        </w:rPr>
        <w:t xml:space="preserve">Lot 1: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039C7878" w14:textId="0676F616" w:rsidR="00221EDA" w:rsidRDefault="00221EDA" w:rsidP="00221EDA">
      <w:pPr>
        <w:spacing w:before="120"/>
        <w:ind w:left="706"/>
        <w:jc w:val="both"/>
        <w:rPr>
          <w:b/>
          <w:bCs/>
          <w:sz w:val="22"/>
          <w:szCs w:val="22"/>
        </w:rPr>
      </w:pPr>
      <w:r w:rsidRPr="006A5F84">
        <w:rPr>
          <w:sz w:val="22"/>
          <w:szCs w:val="22"/>
        </w:rPr>
        <w:t xml:space="preserve">Lot </w:t>
      </w:r>
      <w:r>
        <w:rPr>
          <w:sz w:val="22"/>
          <w:szCs w:val="22"/>
        </w:rPr>
        <w:t>2</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7B2DB214" w14:textId="67DC95E0" w:rsidR="00CF05FE" w:rsidRDefault="00CF05FE" w:rsidP="00CF05FE">
      <w:pPr>
        <w:spacing w:before="120"/>
        <w:ind w:left="706"/>
        <w:jc w:val="both"/>
        <w:rPr>
          <w:sz w:val="22"/>
          <w:szCs w:val="22"/>
        </w:rPr>
      </w:pPr>
      <w:r w:rsidRPr="006A5F84">
        <w:rPr>
          <w:sz w:val="22"/>
          <w:szCs w:val="22"/>
        </w:rPr>
        <w:t xml:space="preserve">Lot </w:t>
      </w:r>
      <w:r>
        <w:rPr>
          <w:sz w:val="22"/>
          <w:szCs w:val="22"/>
        </w:rPr>
        <w:t>3</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0DC058A0" w14:textId="705F07A4" w:rsidR="00CF05FE" w:rsidRDefault="00CF05FE" w:rsidP="00CF05FE">
      <w:pPr>
        <w:spacing w:before="120"/>
        <w:ind w:left="706"/>
        <w:jc w:val="both"/>
        <w:rPr>
          <w:sz w:val="22"/>
          <w:szCs w:val="22"/>
        </w:rPr>
      </w:pPr>
      <w:r w:rsidRPr="006A5F84">
        <w:rPr>
          <w:sz w:val="22"/>
          <w:szCs w:val="22"/>
        </w:rPr>
        <w:t xml:space="preserve">Lot </w:t>
      </w:r>
      <w:r>
        <w:rPr>
          <w:sz w:val="22"/>
          <w:szCs w:val="22"/>
        </w:rPr>
        <w:t>4</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5DF0F8D0" w14:textId="2573A6F6" w:rsidR="00CF05FE" w:rsidRDefault="00CF05FE" w:rsidP="00CF05FE">
      <w:pPr>
        <w:spacing w:before="120"/>
        <w:ind w:left="706"/>
        <w:jc w:val="both"/>
        <w:rPr>
          <w:sz w:val="22"/>
          <w:szCs w:val="22"/>
        </w:rPr>
      </w:pPr>
      <w:r w:rsidRPr="006A5F84">
        <w:rPr>
          <w:sz w:val="22"/>
          <w:szCs w:val="22"/>
        </w:rPr>
        <w:t xml:space="preserve">Lot </w:t>
      </w:r>
      <w:r>
        <w:rPr>
          <w:sz w:val="22"/>
          <w:szCs w:val="22"/>
        </w:rPr>
        <w:t>5</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proofErr w:type="gramStart"/>
      <w:r w:rsidR="00221EDA" w:rsidRPr="002D59A9">
        <w:rPr>
          <w:sz w:val="22"/>
          <w:szCs w:val="22"/>
          <w:highlight w:val="yellow"/>
        </w:rPr>
        <w:t>…..</w:t>
      </w:r>
      <w:proofErr w:type="gramEnd"/>
      <w:r w:rsidR="00221EDA">
        <w:rPr>
          <w:sz w:val="22"/>
          <w:szCs w:val="22"/>
        </w:rPr>
        <w:t>&gt;</w:t>
      </w:r>
      <w:r w:rsidR="00221EDA" w:rsidRPr="006A5F84">
        <w:rPr>
          <w:sz w:val="22"/>
          <w:szCs w:val="22"/>
        </w:rPr>
        <w:t xml:space="preserve">] </w:t>
      </w:r>
      <w:r w:rsidR="00221ED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w:t>
      </w:r>
      <w:r w:rsidR="006E4B07">
        <w:rPr>
          <w:sz w:val="22"/>
          <w:szCs w:val="22"/>
          <w:highlight w:val="lightGray"/>
        </w:rPr>
        <w:lastRenderedPageBreak/>
        <w:t>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4"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08D750F9"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EABBE42"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27BB30A"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A26D30">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85FDF" w14:textId="77777777" w:rsidR="00A26D30" w:rsidRPr="006A5F84" w:rsidRDefault="00A26D30">
      <w:r w:rsidRPr="006A5F84">
        <w:separator/>
      </w:r>
    </w:p>
  </w:endnote>
  <w:endnote w:type="continuationSeparator" w:id="0">
    <w:p w14:paraId="1AB26168" w14:textId="77777777" w:rsidR="00A26D30" w:rsidRPr="006A5F84" w:rsidRDefault="00A26D3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ED684" w14:textId="77777777" w:rsidR="00A26D30" w:rsidRPr="006A5F84" w:rsidRDefault="00A26D30">
      <w:r w:rsidRPr="006A5F84">
        <w:separator/>
      </w:r>
    </w:p>
  </w:footnote>
  <w:footnote w:type="continuationSeparator" w:id="0">
    <w:p w14:paraId="5BA120BF" w14:textId="77777777" w:rsidR="00A26D30" w:rsidRPr="006A5F84" w:rsidRDefault="00A26D30">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w:t>
      </w:r>
      <w:proofErr w:type="gramStart"/>
      <w:r w:rsidRPr="006A5F84">
        <w:t>financial</w:t>
      </w:r>
      <w:proofErr w:type="gramEnd"/>
      <w:r w:rsidRPr="006A5F84">
        <w:t xml:space="preserve">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1">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proofErr w:type="gramStart"/>
      <w:r>
        <w:t xml:space="preserve">personnel </w:t>
      </w:r>
      <w:r w:rsidRPr="006A5F84">
        <w:t xml:space="preserve"> directly</w:t>
      </w:r>
      <w:proofErr w:type="gramEnd"/>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2">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46484226">
    <w:abstractNumId w:val="8"/>
  </w:num>
  <w:num w:numId="2" w16cid:durableId="826631224">
    <w:abstractNumId w:val="19"/>
  </w:num>
  <w:num w:numId="3" w16cid:durableId="369771548">
    <w:abstractNumId w:val="7"/>
  </w:num>
  <w:num w:numId="4" w16cid:durableId="1022316198">
    <w:abstractNumId w:val="10"/>
  </w:num>
  <w:num w:numId="5" w16cid:durableId="1131022001">
    <w:abstractNumId w:val="21"/>
  </w:num>
  <w:num w:numId="6" w16cid:durableId="1921869809">
    <w:abstractNumId w:val="6"/>
  </w:num>
  <w:num w:numId="7" w16cid:durableId="807824524">
    <w:abstractNumId w:val="3"/>
  </w:num>
  <w:num w:numId="8" w16cid:durableId="637220971">
    <w:abstractNumId w:val="0"/>
  </w:num>
  <w:num w:numId="9" w16cid:durableId="2121753184">
    <w:abstractNumId w:val="11"/>
  </w:num>
  <w:num w:numId="10" w16cid:durableId="1377043312">
    <w:abstractNumId w:val="2"/>
  </w:num>
  <w:num w:numId="11" w16cid:durableId="1939747429">
    <w:abstractNumId w:val="18"/>
  </w:num>
  <w:num w:numId="12" w16cid:durableId="1213037283">
    <w:abstractNumId w:val="9"/>
  </w:num>
  <w:num w:numId="13" w16cid:durableId="2121992161">
    <w:abstractNumId w:val="4"/>
  </w:num>
  <w:num w:numId="14" w16cid:durableId="1572932415">
    <w:abstractNumId w:val="16"/>
  </w:num>
  <w:num w:numId="15" w16cid:durableId="1766149177">
    <w:abstractNumId w:val="17"/>
  </w:num>
  <w:num w:numId="16" w16cid:durableId="531845631">
    <w:abstractNumId w:val="5"/>
  </w:num>
  <w:num w:numId="17" w16cid:durableId="1625766082">
    <w:abstractNumId w:val="13"/>
  </w:num>
  <w:num w:numId="18" w16cid:durableId="63530966">
    <w:abstractNumId w:val="15"/>
  </w:num>
  <w:num w:numId="19" w16cid:durableId="408888443">
    <w:abstractNumId w:val="14"/>
  </w:num>
  <w:num w:numId="20" w16cid:durableId="1076393631">
    <w:abstractNumId w:val="12"/>
  </w:num>
  <w:num w:numId="21" w16cid:durableId="2007588940">
    <w:abstractNumId w:val="22"/>
  </w:num>
  <w:num w:numId="22" w16cid:durableId="117113723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C790A"/>
    <w:rsid w:val="001D0532"/>
    <w:rsid w:val="001D20C7"/>
    <w:rsid w:val="001D26D8"/>
    <w:rsid w:val="001D339B"/>
    <w:rsid w:val="001D3994"/>
    <w:rsid w:val="001D5642"/>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575C0"/>
    <w:rsid w:val="00263D1A"/>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023A"/>
    <w:rsid w:val="0040221E"/>
    <w:rsid w:val="0040384D"/>
    <w:rsid w:val="0040595A"/>
    <w:rsid w:val="00406AC8"/>
    <w:rsid w:val="004072FA"/>
    <w:rsid w:val="004127F1"/>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1B8"/>
    <w:rsid w:val="005634B2"/>
    <w:rsid w:val="00565E46"/>
    <w:rsid w:val="005672B7"/>
    <w:rsid w:val="005703D0"/>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2060"/>
    <w:rsid w:val="007828D9"/>
    <w:rsid w:val="007878EF"/>
    <w:rsid w:val="00792A1B"/>
    <w:rsid w:val="007A0045"/>
    <w:rsid w:val="007B65DB"/>
    <w:rsid w:val="007C0BDD"/>
    <w:rsid w:val="007C1656"/>
    <w:rsid w:val="007C75E0"/>
    <w:rsid w:val="007D5FA2"/>
    <w:rsid w:val="007E0A2D"/>
    <w:rsid w:val="007E0CD5"/>
    <w:rsid w:val="007E1C81"/>
    <w:rsid w:val="007E3D5F"/>
    <w:rsid w:val="007F6802"/>
    <w:rsid w:val="00806CE0"/>
    <w:rsid w:val="00811F58"/>
    <w:rsid w:val="0081418B"/>
    <w:rsid w:val="00814B15"/>
    <w:rsid w:val="00816E8F"/>
    <w:rsid w:val="008227A5"/>
    <w:rsid w:val="00822E7E"/>
    <w:rsid w:val="008272ED"/>
    <w:rsid w:val="0082768A"/>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9461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16145"/>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3D6E"/>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26D30"/>
    <w:rsid w:val="00A3576A"/>
    <w:rsid w:val="00A42BA0"/>
    <w:rsid w:val="00A45A0D"/>
    <w:rsid w:val="00A512A5"/>
    <w:rsid w:val="00A512C9"/>
    <w:rsid w:val="00A539E4"/>
    <w:rsid w:val="00A56B96"/>
    <w:rsid w:val="00A62073"/>
    <w:rsid w:val="00A63E3C"/>
    <w:rsid w:val="00A665A2"/>
    <w:rsid w:val="00A737C5"/>
    <w:rsid w:val="00A75650"/>
    <w:rsid w:val="00A824E9"/>
    <w:rsid w:val="00A845B1"/>
    <w:rsid w:val="00A8623A"/>
    <w:rsid w:val="00A90875"/>
    <w:rsid w:val="00A90AA4"/>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28"/>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2989"/>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E5C02"/>
    <w:rsid w:val="00CF05FE"/>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5DBC"/>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36PNQURX5RKK-1756048454-200742</_dlc_DocId>
    <_dlc_DocIdUrl xmlns="65e037ea-5baf-40e5-a049-24e64701385b">
      <Url>https://eumm.sharepoint.com/sites/PROCUREMENTDocumentCenter/_layouts/15/DocIdRedir.aspx?ID=36PNQURX5RKK-1756048454-200742</Url>
      <Description>36PNQURX5RKK-1756048454-200742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2.xml><?xml version="1.0" encoding="utf-8"?>
<ds:datastoreItem xmlns:ds="http://schemas.openxmlformats.org/officeDocument/2006/customXml" ds:itemID="{686631DB-F318-4ACD-8B2F-77511174F3BD}">
  <ds:schemaRefs>
    <ds:schemaRef ds:uri="http://schemas.microsoft.com/sharepoint/event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8FBEC023-7B71-478C-9A6A-3D3028FBC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673</TotalTime>
  <Pages>12</Pages>
  <Words>2300</Words>
  <Characters>13114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 Daniel Toma</cp:lastModifiedBy>
  <cp:revision>149</cp:revision>
  <cp:lastPrinted>2012-09-24T09:39:00Z</cp:lastPrinted>
  <dcterms:created xsi:type="dcterms:W3CDTF">2018-12-18T11:43:00Z</dcterms:created>
  <dcterms:modified xsi:type="dcterms:W3CDTF">2024-03-05T04:42:00Z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0x0101009F92F771D5A077459C42AD7B93AED61F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y fmtid="{D5CDD505-2E9C-101B-9397-08002B2CF9AE}" pid="11" name="_dlc_DocIdItemGuid">
    <vt:lpwstr>cf71e4f5-46f3-4818-9114-86d20354762f</vt:lpwstr>
  </property>
</Properties>
</file>