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4A20782B" w:rsidR="006F5FD0" w:rsidRDefault="00000000"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1;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1"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4F0C159D" w:rsidR="006F5FD0" w:rsidRPr="008F1BBE" w:rsidRDefault="00C03806">
      <w:pPr>
        <w:jc w:val="center"/>
        <w:rPr>
          <w:rStyle w:val="Strong"/>
          <w:sz w:val="20"/>
          <w:lang w:val="en-GB"/>
        </w:rPr>
      </w:pPr>
      <w:r>
        <w:rPr>
          <w:b/>
          <w:sz w:val="28"/>
          <w:szCs w:val="28"/>
          <w:lang w:val="en-GB"/>
        </w:rPr>
        <w:t xml:space="preserve">CONTRACT </w:t>
      </w:r>
      <w:r w:rsidR="006F5FD0" w:rsidRPr="00571687">
        <w:rPr>
          <w:b/>
          <w:sz w:val="28"/>
          <w:szCs w:val="28"/>
          <w:lang w:val="en-GB"/>
        </w:rPr>
        <w:t>NOTICE</w:t>
      </w:r>
      <w:r w:rsidR="00CD3935">
        <w:rPr>
          <w:b/>
          <w:sz w:val="28"/>
          <w:szCs w:val="28"/>
          <w:lang w:val="en-GB"/>
        </w:rPr>
        <w:br/>
      </w:r>
      <w:r w:rsidR="00256AD6" w:rsidRPr="00CD3935">
        <w:rPr>
          <w:b/>
          <w:sz w:val="16"/>
          <w:szCs w:val="16"/>
          <w:lang w:val="en-GB"/>
        </w:rPr>
        <w:br/>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2"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3"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3B26C393"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1D5FBA" w:rsidRPr="001D5FBA">
        <w:rPr>
          <w:bCs/>
          <w:snapToGrid/>
          <w:color w:val="242424"/>
          <w:sz w:val="22"/>
          <w:szCs w:val="22"/>
          <w:shd w:val="clear" w:color="auto" w:fill="FFFFFF"/>
        </w:rPr>
        <w:t xml:space="preserve">Framework contract for Supply and Delivery of automotive tires for EUMM </w:t>
      </w:r>
      <w:r w:rsidR="008D6102">
        <w:rPr>
          <w:rStyle w:val="Strong"/>
          <w:b w:val="0"/>
          <w:bCs/>
          <w:sz w:val="22"/>
          <w:szCs w:val="22"/>
          <w:lang w:val="en-GB"/>
        </w:rPr>
        <w:t>Georgia</w:t>
      </w:r>
      <w:r w:rsidR="008D6102" w:rsidRPr="001D5FBA">
        <w:rPr>
          <w:bCs/>
          <w:snapToGrid/>
          <w:color w:val="242424"/>
          <w:sz w:val="22"/>
          <w:szCs w:val="22"/>
          <w:shd w:val="clear" w:color="auto" w:fill="FFFFFF"/>
        </w:rPr>
        <w:t xml:space="preserve"> </w:t>
      </w:r>
      <w:r w:rsidR="001D5FBA" w:rsidRPr="001D5FBA">
        <w:rPr>
          <w:bCs/>
          <w:snapToGrid/>
          <w:color w:val="242424"/>
          <w:sz w:val="22"/>
          <w:szCs w:val="22"/>
          <w:shd w:val="clear" w:color="auto" w:fill="FFFFFF"/>
        </w:rPr>
        <w:t>fleet</w:t>
      </w:r>
      <w:r w:rsidR="00D371B7">
        <w:rPr>
          <w:bCs/>
          <w:snapToGrid/>
          <w:color w:val="242424"/>
          <w:sz w:val="22"/>
          <w:szCs w:val="22"/>
          <w:shd w:val="clear" w:color="auto" w:fill="FFFFFF"/>
        </w:rPr>
        <w:t xml:space="preserve">, </w:t>
      </w:r>
      <w:r w:rsidR="00052587">
        <w:rPr>
          <w:bCs/>
          <w:snapToGrid/>
          <w:color w:val="242424"/>
          <w:sz w:val="22"/>
          <w:szCs w:val="22"/>
          <w:shd w:val="clear" w:color="auto" w:fill="FFFFFF"/>
        </w:rPr>
        <w:t>(</w:t>
      </w:r>
      <w:r w:rsidR="00D371B7">
        <w:rPr>
          <w:bCs/>
          <w:snapToGrid/>
          <w:color w:val="242424"/>
          <w:sz w:val="22"/>
          <w:szCs w:val="22"/>
          <w:shd w:val="clear" w:color="auto" w:fill="FFFFFF"/>
        </w:rPr>
        <w:t>ref</w:t>
      </w:r>
      <w:r w:rsidR="00B176AF" w:rsidRPr="001D5FBA">
        <w:rPr>
          <w:bCs/>
          <w:snapToGrid/>
          <w:color w:val="242424"/>
          <w:shd w:val="clear" w:color="auto" w:fill="FFFFFF"/>
        </w:rPr>
        <w:t>.</w:t>
      </w:r>
      <w:r w:rsidR="00D371B7" w:rsidRPr="00D371B7">
        <w:rPr>
          <w:bCs/>
          <w:i/>
          <w:iCs/>
          <w:snapToGrid/>
          <w:color w:val="242424"/>
          <w:sz w:val="22"/>
          <w:szCs w:val="22"/>
          <w:shd w:val="clear" w:color="auto" w:fill="FFFFFF"/>
        </w:rPr>
        <w:t xml:space="preserve"> </w:t>
      </w:r>
      <w:r w:rsidR="00D371B7" w:rsidRPr="00D371B7">
        <w:rPr>
          <w:bCs/>
          <w:snapToGrid/>
          <w:color w:val="242424"/>
          <w:sz w:val="22"/>
          <w:szCs w:val="22"/>
          <w:shd w:val="clear" w:color="auto" w:fill="FFFFFF"/>
        </w:rPr>
        <w:t>EUMM-24-9364</w:t>
      </w:r>
      <w:r w:rsidR="00052587">
        <w:rPr>
          <w:bCs/>
          <w:snapToGrid/>
          <w:color w:val="242424"/>
          <w:sz w:val="22"/>
          <w:szCs w:val="22"/>
          <w:shd w:val="clear" w:color="auto" w:fill="FFFFFF"/>
        </w:rPr>
        <w: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tbl>
      <w:tblPr>
        <w:tblW w:w="9360" w:type="dxa"/>
        <w:tblInd w:w="108" w:type="dxa"/>
        <w:tblLook w:val="04A0" w:firstRow="1" w:lastRow="0" w:firstColumn="1" w:lastColumn="0" w:noHBand="0" w:noVBand="1"/>
      </w:tblPr>
      <w:tblGrid>
        <w:gridCol w:w="1890"/>
        <w:gridCol w:w="7470"/>
      </w:tblGrid>
      <w:tr w:rsidR="00785E2E" w:rsidRPr="00785E2E" w14:paraId="25A86D4C" w14:textId="77777777" w:rsidTr="003F654E">
        <w:trPr>
          <w:trHeight w:val="255"/>
        </w:trPr>
        <w:tc>
          <w:tcPr>
            <w:tcW w:w="1890" w:type="dxa"/>
            <w:tcBorders>
              <w:top w:val="nil"/>
              <w:left w:val="nil"/>
              <w:bottom w:val="nil"/>
              <w:right w:val="nil"/>
            </w:tcBorders>
            <w:shd w:val="clear" w:color="auto" w:fill="auto"/>
            <w:noWrap/>
            <w:vAlign w:val="bottom"/>
          </w:tcPr>
          <w:p w14:paraId="593B0F4A" w14:textId="48DD67B7" w:rsidR="00785E2E" w:rsidRPr="00785E2E" w:rsidRDefault="00785E2E" w:rsidP="00785E2E">
            <w:pPr>
              <w:widowControl/>
              <w:spacing w:before="0" w:after="0"/>
              <w:rPr>
                <w:rFonts w:ascii="Arial" w:hAnsi="Arial" w:cs="Arial"/>
                <w:snapToGrid/>
                <w:sz w:val="20"/>
              </w:rPr>
            </w:pPr>
          </w:p>
        </w:tc>
        <w:tc>
          <w:tcPr>
            <w:tcW w:w="7470" w:type="dxa"/>
            <w:tcBorders>
              <w:top w:val="nil"/>
              <w:left w:val="nil"/>
              <w:bottom w:val="nil"/>
              <w:right w:val="nil"/>
            </w:tcBorders>
            <w:shd w:val="clear" w:color="auto" w:fill="auto"/>
            <w:noWrap/>
            <w:vAlign w:val="bottom"/>
          </w:tcPr>
          <w:p w14:paraId="3604FD8D" w14:textId="38EBCB27" w:rsidR="00785E2E" w:rsidRPr="00785E2E" w:rsidRDefault="00785E2E" w:rsidP="00785E2E">
            <w:pPr>
              <w:widowControl/>
              <w:spacing w:before="0" w:after="0"/>
              <w:rPr>
                <w:rFonts w:ascii="Arial" w:hAnsi="Arial" w:cs="Arial"/>
                <w:snapToGrid/>
                <w:sz w:val="20"/>
              </w:rPr>
            </w:pPr>
          </w:p>
        </w:tc>
      </w:tr>
      <w:tr w:rsidR="00785E2E" w:rsidRPr="004F4708" w14:paraId="70A386CD" w14:textId="77777777" w:rsidTr="00D31586">
        <w:trPr>
          <w:trHeight w:val="255"/>
        </w:trPr>
        <w:tc>
          <w:tcPr>
            <w:tcW w:w="1890" w:type="dxa"/>
            <w:tcBorders>
              <w:top w:val="nil"/>
              <w:left w:val="nil"/>
              <w:bottom w:val="nil"/>
              <w:right w:val="nil"/>
            </w:tcBorders>
            <w:shd w:val="clear" w:color="auto" w:fill="auto"/>
            <w:noWrap/>
            <w:vAlign w:val="bottom"/>
            <w:hideMark/>
          </w:tcPr>
          <w:p w14:paraId="4975D327"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34350000-5</w:t>
            </w:r>
          </w:p>
        </w:tc>
        <w:tc>
          <w:tcPr>
            <w:tcW w:w="7470" w:type="dxa"/>
            <w:tcBorders>
              <w:top w:val="nil"/>
              <w:left w:val="nil"/>
              <w:bottom w:val="nil"/>
              <w:right w:val="nil"/>
            </w:tcBorders>
            <w:shd w:val="clear" w:color="auto" w:fill="auto"/>
            <w:noWrap/>
            <w:vAlign w:val="bottom"/>
            <w:hideMark/>
          </w:tcPr>
          <w:p w14:paraId="7CC062AD"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Tyres for heavy/light-duty vehicles</w:t>
            </w:r>
          </w:p>
        </w:tc>
      </w:tr>
      <w:tr w:rsidR="00785E2E" w:rsidRPr="004F4708" w14:paraId="661B030C" w14:textId="77777777" w:rsidTr="00D31586">
        <w:trPr>
          <w:trHeight w:val="255"/>
        </w:trPr>
        <w:tc>
          <w:tcPr>
            <w:tcW w:w="1890" w:type="dxa"/>
            <w:tcBorders>
              <w:top w:val="nil"/>
              <w:left w:val="nil"/>
              <w:bottom w:val="nil"/>
              <w:right w:val="nil"/>
            </w:tcBorders>
            <w:shd w:val="clear" w:color="auto" w:fill="auto"/>
            <w:noWrap/>
            <w:vAlign w:val="bottom"/>
            <w:hideMark/>
          </w:tcPr>
          <w:p w14:paraId="4C776793"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34351000-2</w:t>
            </w:r>
          </w:p>
        </w:tc>
        <w:tc>
          <w:tcPr>
            <w:tcW w:w="7470" w:type="dxa"/>
            <w:tcBorders>
              <w:top w:val="nil"/>
              <w:left w:val="nil"/>
              <w:bottom w:val="nil"/>
              <w:right w:val="nil"/>
            </w:tcBorders>
            <w:shd w:val="clear" w:color="auto" w:fill="auto"/>
            <w:noWrap/>
            <w:vAlign w:val="bottom"/>
            <w:hideMark/>
          </w:tcPr>
          <w:p w14:paraId="6828E3E6"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Light-duty tyres</w:t>
            </w:r>
          </w:p>
        </w:tc>
      </w:tr>
      <w:tr w:rsidR="00785E2E" w:rsidRPr="004F4708" w14:paraId="1D689690" w14:textId="77777777" w:rsidTr="00D31586">
        <w:trPr>
          <w:trHeight w:val="255"/>
        </w:trPr>
        <w:tc>
          <w:tcPr>
            <w:tcW w:w="1890" w:type="dxa"/>
            <w:tcBorders>
              <w:top w:val="nil"/>
              <w:left w:val="nil"/>
              <w:bottom w:val="nil"/>
              <w:right w:val="nil"/>
            </w:tcBorders>
            <w:shd w:val="clear" w:color="auto" w:fill="auto"/>
            <w:noWrap/>
            <w:vAlign w:val="bottom"/>
            <w:hideMark/>
          </w:tcPr>
          <w:p w14:paraId="3550CA3D"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34351100-3</w:t>
            </w:r>
          </w:p>
        </w:tc>
        <w:tc>
          <w:tcPr>
            <w:tcW w:w="7470" w:type="dxa"/>
            <w:tcBorders>
              <w:top w:val="nil"/>
              <w:left w:val="nil"/>
              <w:bottom w:val="nil"/>
              <w:right w:val="nil"/>
            </w:tcBorders>
            <w:shd w:val="clear" w:color="auto" w:fill="auto"/>
            <w:noWrap/>
            <w:vAlign w:val="bottom"/>
            <w:hideMark/>
          </w:tcPr>
          <w:p w14:paraId="1554DD4F"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Tyres for motor cars</w:t>
            </w:r>
          </w:p>
        </w:tc>
      </w:tr>
      <w:tr w:rsidR="00785E2E" w:rsidRPr="004F4708" w14:paraId="1A606FDF" w14:textId="77777777" w:rsidTr="00D31586">
        <w:trPr>
          <w:trHeight w:val="255"/>
        </w:trPr>
        <w:tc>
          <w:tcPr>
            <w:tcW w:w="1890" w:type="dxa"/>
            <w:tcBorders>
              <w:top w:val="nil"/>
              <w:left w:val="nil"/>
              <w:bottom w:val="nil"/>
              <w:right w:val="nil"/>
            </w:tcBorders>
            <w:shd w:val="clear" w:color="auto" w:fill="auto"/>
            <w:noWrap/>
            <w:vAlign w:val="bottom"/>
            <w:hideMark/>
          </w:tcPr>
          <w:p w14:paraId="5064DEF7"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34352000-9</w:t>
            </w:r>
          </w:p>
        </w:tc>
        <w:tc>
          <w:tcPr>
            <w:tcW w:w="7470" w:type="dxa"/>
            <w:tcBorders>
              <w:top w:val="nil"/>
              <w:left w:val="nil"/>
              <w:bottom w:val="nil"/>
              <w:right w:val="nil"/>
            </w:tcBorders>
            <w:shd w:val="clear" w:color="auto" w:fill="auto"/>
            <w:noWrap/>
            <w:vAlign w:val="bottom"/>
            <w:hideMark/>
          </w:tcPr>
          <w:p w14:paraId="2B8F8CBE"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Heavy-duty tyres</w:t>
            </w:r>
          </w:p>
        </w:tc>
      </w:tr>
      <w:tr w:rsidR="00785E2E" w:rsidRPr="004F4708" w14:paraId="4348D043" w14:textId="77777777" w:rsidTr="00D31586">
        <w:trPr>
          <w:trHeight w:val="255"/>
        </w:trPr>
        <w:tc>
          <w:tcPr>
            <w:tcW w:w="1890" w:type="dxa"/>
            <w:tcBorders>
              <w:top w:val="nil"/>
              <w:left w:val="nil"/>
              <w:bottom w:val="nil"/>
              <w:right w:val="nil"/>
            </w:tcBorders>
            <w:shd w:val="clear" w:color="auto" w:fill="auto"/>
            <w:noWrap/>
            <w:vAlign w:val="bottom"/>
            <w:hideMark/>
          </w:tcPr>
          <w:p w14:paraId="00B08712"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34352100-0</w:t>
            </w:r>
          </w:p>
        </w:tc>
        <w:tc>
          <w:tcPr>
            <w:tcW w:w="7470" w:type="dxa"/>
            <w:tcBorders>
              <w:top w:val="nil"/>
              <w:left w:val="nil"/>
              <w:bottom w:val="nil"/>
              <w:right w:val="nil"/>
            </w:tcBorders>
            <w:shd w:val="clear" w:color="auto" w:fill="auto"/>
            <w:noWrap/>
            <w:vAlign w:val="bottom"/>
            <w:hideMark/>
          </w:tcPr>
          <w:p w14:paraId="25ABBC1E"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Tyres for trucks</w:t>
            </w:r>
          </w:p>
        </w:tc>
      </w:tr>
      <w:tr w:rsidR="00785E2E" w:rsidRPr="004F4708" w14:paraId="7E6F9B69" w14:textId="77777777" w:rsidTr="004F4708">
        <w:trPr>
          <w:trHeight w:val="63"/>
        </w:trPr>
        <w:tc>
          <w:tcPr>
            <w:tcW w:w="1890" w:type="dxa"/>
            <w:tcBorders>
              <w:top w:val="nil"/>
              <w:left w:val="nil"/>
              <w:bottom w:val="nil"/>
              <w:right w:val="nil"/>
            </w:tcBorders>
            <w:shd w:val="clear" w:color="auto" w:fill="auto"/>
            <w:noWrap/>
            <w:vAlign w:val="bottom"/>
            <w:hideMark/>
          </w:tcPr>
          <w:p w14:paraId="5B6A6D36"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34352200-1</w:t>
            </w:r>
          </w:p>
        </w:tc>
        <w:tc>
          <w:tcPr>
            <w:tcW w:w="7470" w:type="dxa"/>
            <w:tcBorders>
              <w:top w:val="nil"/>
              <w:left w:val="nil"/>
              <w:bottom w:val="nil"/>
              <w:right w:val="nil"/>
            </w:tcBorders>
            <w:shd w:val="clear" w:color="auto" w:fill="auto"/>
            <w:noWrap/>
            <w:vAlign w:val="bottom"/>
            <w:hideMark/>
          </w:tcPr>
          <w:p w14:paraId="64F9FDDF" w14:textId="77777777" w:rsidR="00785E2E" w:rsidRPr="004F4708" w:rsidRDefault="00785E2E" w:rsidP="00785E2E">
            <w:pPr>
              <w:widowControl/>
              <w:spacing w:before="0" w:after="0"/>
              <w:rPr>
                <w:bCs/>
                <w:snapToGrid/>
                <w:color w:val="242424"/>
                <w:sz w:val="22"/>
                <w:szCs w:val="22"/>
                <w:shd w:val="clear" w:color="auto" w:fill="FFFFFF"/>
              </w:rPr>
            </w:pPr>
            <w:r w:rsidRPr="004F4708">
              <w:rPr>
                <w:bCs/>
                <w:snapToGrid/>
                <w:color w:val="242424"/>
                <w:sz w:val="22"/>
                <w:szCs w:val="22"/>
                <w:shd w:val="clear" w:color="auto" w:fill="FFFFFF"/>
              </w:rPr>
              <w:t>Tyres for buses</w:t>
            </w:r>
          </w:p>
        </w:tc>
      </w:tr>
      <w:tr w:rsidR="00785E2E" w:rsidRPr="004F4708" w14:paraId="1CB3A7FB" w14:textId="77777777" w:rsidTr="001E3856">
        <w:trPr>
          <w:trHeight w:val="255"/>
        </w:trPr>
        <w:tc>
          <w:tcPr>
            <w:tcW w:w="1890" w:type="dxa"/>
            <w:tcBorders>
              <w:top w:val="nil"/>
              <w:left w:val="nil"/>
              <w:bottom w:val="nil"/>
              <w:right w:val="nil"/>
            </w:tcBorders>
            <w:shd w:val="clear" w:color="auto" w:fill="auto"/>
            <w:noWrap/>
            <w:vAlign w:val="bottom"/>
          </w:tcPr>
          <w:p w14:paraId="1AA9FDB6" w14:textId="1C3A29DD" w:rsidR="00785E2E" w:rsidRPr="004F4708" w:rsidRDefault="00785E2E" w:rsidP="00785E2E">
            <w:pPr>
              <w:widowControl/>
              <w:spacing w:before="0" w:after="0"/>
              <w:rPr>
                <w:rFonts w:ascii="Arial" w:hAnsi="Arial" w:cs="Arial"/>
                <w:snapToGrid/>
                <w:sz w:val="20"/>
              </w:rPr>
            </w:pPr>
          </w:p>
        </w:tc>
        <w:tc>
          <w:tcPr>
            <w:tcW w:w="7470" w:type="dxa"/>
            <w:tcBorders>
              <w:top w:val="nil"/>
              <w:left w:val="nil"/>
              <w:bottom w:val="nil"/>
              <w:right w:val="nil"/>
            </w:tcBorders>
            <w:shd w:val="clear" w:color="auto" w:fill="auto"/>
            <w:noWrap/>
            <w:vAlign w:val="bottom"/>
          </w:tcPr>
          <w:p w14:paraId="08891ABC" w14:textId="6F7CA7B1" w:rsidR="00785E2E" w:rsidRPr="004F4708" w:rsidRDefault="00785E2E" w:rsidP="00785E2E">
            <w:pPr>
              <w:widowControl/>
              <w:spacing w:before="0" w:after="0"/>
              <w:rPr>
                <w:rFonts w:ascii="Arial" w:hAnsi="Arial" w:cs="Arial"/>
                <w:snapToGrid/>
                <w:sz w:val="20"/>
              </w:rPr>
            </w:pPr>
          </w:p>
        </w:tc>
      </w:tr>
    </w:tbl>
    <w:p w14:paraId="57BD9A50" w14:textId="14226A7D" w:rsidR="00010B32" w:rsidRPr="00D67F00" w:rsidRDefault="00010B32" w:rsidP="00010B32">
      <w:pPr>
        <w:outlineLvl w:val="0"/>
        <w:rPr>
          <w:rStyle w:val="Strong"/>
          <w:sz w:val="22"/>
          <w:szCs w:val="22"/>
          <w:u w:val="single"/>
          <w:lang w:val="en-GB"/>
        </w:rPr>
      </w:pPr>
      <w:r w:rsidRPr="004F4708">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123878">
        <w:rPr>
          <w:rStyle w:val="Emphasis"/>
          <w:i w:val="0"/>
          <w:sz w:val="22"/>
          <w:szCs w:val="22"/>
          <w:lang w:val="en-GB"/>
        </w:rPr>
        <w:t>Suppl</w:t>
      </w:r>
      <w:r w:rsidR="005C52B2">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61F4B4D1" w:rsidR="00E308ED" w:rsidRDefault="00527AD9" w:rsidP="0019359C">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 xml:space="preserve">t of this contract is </w:t>
      </w:r>
      <w:r w:rsidR="00AB1BD8">
        <w:rPr>
          <w:iCs/>
          <w:sz w:val="22"/>
          <w:szCs w:val="22"/>
        </w:rPr>
        <w:t>t</w:t>
      </w:r>
      <w:r w:rsidR="00AB1BD8" w:rsidRPr="00AB1BD8">
        <w:rPr>
          <w:iCs/>
          <w:sz w:val="22"/>
          <w:szCs w:val="22"/>
        </w:rPr>
        <w:t>o maintain the tires buffer stock at an adequate level, ensuring timely replacing when they get damaged or unsafe/ineffective due to normal wear</w:t>
      </w:r>
      <w:r w:rsidR="0019359C" w:rsidRPr="00FC09AA">
        <w:rPr>
          <w:iCs/>
          <w:sz w:val="22"/>
          <w:szCs w:val="22"/>
          <w:lang w:val="en-GB"/>
        </w:rPr>
        <w:t>.</w:t>
      </w:r>
      <w:r w:rsidR="0019359C" w:rsidRPr="0019359C">
        <w:rPr>
          <w:iCs/>
          <w:sz w:val="22"/>
          <w:szCs w:val="22"/>
          <w:lang w:val="en-GB"/>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6E8DABBF" w14:textId="5C9FB5C6" w:rsidR="0019359C" w:rsidRDefault="000D74C4" w:rsidP="00DB35A9">
      <w:pPr>
        <w:outlineLvl w:val="0"/>
        <w:rPr>
          <w:sz w:val="22"/>
          <w:szCs w:val="22"/>
        </w:rPr>
      </w:pPr>
      <w:r>
        <w:rPr>
          <w:sz w:val="22"/>
          <w:szCs w:val="22"/>
        </w:rPr>
        <w:lastRenderedPageBreak/>
        <w:t xml:space="preserve"> </w:t>
      </w:r>
      <w:r w:rsidRPr="008C5E28">
        <w:rPr>
          <w:sz w:val="22"/>
          <w:szCs w:val="22"/>
        </w:rPr>
        <w:t>Please see Annex II+III &amp; Annex IV</w:t>
      </w:r>
    </w:p>
    <w:p w14:paraId="33FFDFE9" w14:textId="237DAF4D" w:rsidR="00DB35A9" w:rsidRPr="0019359C" w:rsidRDefault="00DB35A9" w:rsidP="00DB35A9">
      <w:pPr>
        <w:outlineLvl w:val="0"/>
        <w:rPr>
          <w:rStyle w:val="Strong"/>
          <w:sz w:val="22"/>
          <w:szCs w:val="22"/>
          <w:u w:val="single"/>
          <w:lang w:val="en-GB"/>
        </w:rPr>
      </w:pPr>
      <w:r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IV.2.1) Previous publication concerning this procedure</w:t>
      </w:r>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1AC58F36" w:rsidR="00EF74CF" w:rsidRDefault="00D34878"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r>
        <w:rPr>
          <w:rStyle w:val="Strong"/>
          <w:b w:val="0"/>
          <w:sz w:val="22"/>
          <w:szCs w:val="22"/>
          <w:lang w:val="en-GB"/>
        </w:rPr>
        <w:t>One lot only</w:t>
      </w:r>
      <w:r w:rsidR="00ED4052">
        <w:rPr>
          <w:rStyle w:val="Strong"/>
          <w:b w:val="0"/>
          <w:sz w:val="22"/>
          <w:szCs w:val="22"/>
          <w:lang w:val="en-GB"/>
        </w:rPr>
        <w:t>.</w:t>
      </w:r>
      <w:r w:rsidR="00EF74CF" w:rsidRPr="00C6164D">
        <w:rPr>
          <w:rStyle w:val="Strong"/>
          <w:sz w:val="22"/>
          <w:szCs w:val="22"/>
          <w:lang w:val="en-GB"/>
        </w:rPr>
        <w:t xml:space="preserve"> </w:t>
      </w:r>
    </w:p>
    <w:p w14:paraId="3F22C197" w14:textId="7A7D93DD" w:rsidR="00DB35A9" w:rsidRPr="00D67F00" w:rsidRDefault="00D2527A"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5381A9F4" w14:textId="043DCE83" w:rsidR="00FB06A9" w:rsidRDefault="00EF74CF" w:rsidP="00FB06A9">
      <w:pPr>
        <w:outlineLvl w:val="0"/>
        <w:rPr>
          <w:rStyle w:val="Strong"/>
          <w:b w:val="0"/>
          <w:sz w:val="22"/>
          <w:szCs w:val="22"/>
          <w:lang w:val="en-GB"/>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E47438" w:rsidRPr="00E47438">
        <w:rPr>
          <w:rStyle w:val="Strong"/>
          <w:b w:val="0"/>
          <w:bCs/>
          <w:sz w:val="22"/>
          <w:szCs w:val="22"/>
          <w:lang w:val="en-GB"/>
        </w:rPr>
        <w:t xml:space="preserve">Framework contract for Supply and Delivery of automotive tires for EUMM </w:t>
      </w:r>
      <w:r w:rsidR="008D6102">
        <w:rPr>
          <w:rStyle w:val="Strong"/>
          <w:b w:val="0"/>
          <w:bCs/>
          <w:sz w:val="22"/>
          <w:szCs w:val="22"/>
          <w:lang w:val="en-GB"/>
        </w:rPr>
        <w:t xml:space="preserve">Georgia </w:t>
      </w:r>
      <w:r w:rsidR="00E47438" w:rsidRPr="00E47438">
        <w:rPr>
          <w:rStyle w:val="Strong"/>
          <w:b w:val="0"/>
          <w:bCs/>
          <w:sz w:val="22"/>
          <w:szCs w:val="22"/>
          <w:lang w:val="en-GB"/>
        </w:rPr>
        <w:t>fleet</w:t>
      </w:r>
      <w:r w:rsidR="00115E52">
        <w:rPr>
          <w:rStyle w:val="Strong"/>
          <w:b w:val="0"/>
          <w:bCs/>
          <w:sz w:val="22"/>
          <w:szCs w:val="22"/>
          <w:lang w:val="en-GB"/>
        </w:rPr>
        <w:t>.</w:t>
      </w:r>
    </w:p>
    <w:p w14:paraId="7579633B" w14:textId="0B276811"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67FC8026" w14:textId="754F4F58"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sidR="00115E52">
        <w:rPr>
          <w:rStyle w:val="Strong"/>
          <w:b w:val="0"/>
          <w:sz w:val="22"/>
          <w:szCs w:val="22"/>
          <w:lang w:val="en-GB"/>
        </w:rPr>
        <w:t>.</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44F21828"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The Contract shall enter into force following its signature by both the Contracting Authority and the Contractor.</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362321B7"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w:t>
      </w:r>
      <w:r w:rsidR="001213B1">
        <w:rPr>
          <w:rStyle w:val="Strong"/>
          <w:bCs/>
          <w:color w:val="FF0000"/>
          <w:sz w:val="22"/>
          <w:szCs w:val="22"/>
          <w:u w:val="single"/>
          <w:lang w:val="en-GB"/>
        </w:rPr>
        <w:t>should</w:t>
      </w:r>
      <w:r w:rsidRPr="00514221">
        <w:rPr>
          <w:rStyle w:val="Strong"/>
          <w:bCs/>
          <w:color w:val="FF0000"/>
          <w:sz w:val="22"/>
          <w:szCs w:val="22"/>
          <w:u w:val="single"/>
          <w:lang w:val="en-GB"/>
        </w:rPr>
        <w:t xml:space="preserve">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42BA593E"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lastRenderedPageBreak/>
        <w:t>Date:</w:t>
      </w:r>
      <w:r w:rsidR="009F7E92">
        <w:rPr>
          <w:rStyle w:val="Strong"/>
          <w:b w:val="0"/>
          <w:sz w:val="22"/>
          <w:szCs w:val="22"/>
          <w:lang w:val="en-GB"/>
        </w:rPr>
        <w:t xml:space="preserve"> </w:t>
      </w:r>
      <w:r w:rsidR="004F4708" w:rsidRPr="004F4708">
        <w:rPr>
          <w:b/>
          <w:color w:val="FF0000"/>
          <w:u w:val="single" w:color="FF0000"/>
        </w:rPr>
        <w:t>18</w:t>
      </w:r>
      <w:r w:rsidR="000920A4" w:rsidRPr="004F4708">
        <w:rPr>
          <w:b/>
          <w:color w:val="FF0000"/>
          <w:u w:val="single" w:color="FF0000"/>
        </w:rPr>
        <w:t xml:space="preserve"> February 2025</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15:00 hrs standard / local Georgian time</w:t>
      </w:r>
      <w:bookmarkEnd w:id="0"/>
    </w:p>
    <w:p w14:paraId="758FAACD" w14:textId="6DF19789"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 xml:space="preserve">Clarifications may be sought from the contracting authority at the following email address    tenders@eumm.eu (mentioning the publication reference </w:t>
      </w:r>
      <w:r w:rsidR="00B7159A" w:rsidRPr="00B7159A">
        <w:rPr>
          <w:rStyle w:val="Strong"/>
          <w:sz w:val="22"/>
          <w:szCs w:val="22"/>
          <w:u w:val="single"/>
          <w:lang w:val="en-GB"/>
        </w:rPr>
        <w:t>EUMM-24-9364</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41164677" w:rsidR="00DE28AE" w:rsidRPr="001A23F7" w:rsidRDefault="00CC6D8C" w:rsidP="001A23F7">
      <w:pPr>
        <w:outlineLvl w:val="0"/>
        <w:rPr>
          <w:sz w:val="22"/>
          <w:szCs w:val="22"/>
          <w:lang w:val="en-GB"/>
        </w:rPr>
      </w:pPr>
      <w:r w:rsidRPr="004F4708">
        <w:rPr>
          <w:rStyle w:val="Strong"/>
          <w:b w:val="0"/>
          <w:sz w:val="22"/>
          <w:szCs w:val="22"/>
          <w:lang w:val="en-GB"/>
        </w:rPr>
        <w:t>Date:</w:t>
      </w:r>
      <w:r w:rsidR="00A350CC" w:rsidRPr="004F4708">
        <w:rPr>
          <w:rStyle w:val="Strong"/>
          <w:b w:val="0"/>
          <w:sz w:val="22"/>
          <w:szCs w:val="22"/>
          <w:lang w:val="en-GB"/>
        </w:rPr>
        <w:t xml:space="preserve"> </w:t>
      </w:r>
      <w:r w:rsidR="004F4708" w:rsidRPr="004F4708">
        <w:rPr>
          <w:rStyle w:val="Strong"/>
          <w:bCs/>
          <w:sz w:val="22"/>
          <w:szCs w:val="22"/>
          <w:lang w:val="en-GB"/>
        </w:rPr>
        <w:t>20</w:t>
      </w:r>
      <w:r w:rsidR="0058686D" w:rsidRPr="004F4708">
        <w:rPr>
          <w:rStyle w:val="Strong"/>
          <w:bCs/>
          <w:sz w:val="22"/>
          <w:szCs w:val="22"/>
          <w:lang w:val="en-GB"/>
        </w:rPr>
        <w:t xml:space="preserve"> February 2025</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1A23F7" w:rsidSect="00BC34CF">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8CCC9" w14:textId="77777777" w:rsidR="00A84623" w:rsidRDefault="00A84623">
      <w:r>
        <w:separator/>
      </w:r>
    </w:p>
  </w:endnote>
  <w:endnote w:type="continuationSeparator" w:id="0">
    <w:p w14:paraId="5804B58A" w14:textId="77777777" w:rsidR="00A84623" w:rsidRDefault="00A84623">
      <w:r>
        <w:continuationSeparator/>
      </w:r>
    </w:p>
  </w:endnote>
  <w:endnote w:type="continuationNotice" w:id="1">
    <w:p w14:paraId="10C8C99D" w14:textId="77777777" w:rsidR="00A84623" w:rsidRDefault="00A846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618C5537"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EUMM-2</w:t>
    </w:r>
    <w:r w:rsidR="00B53617">
      <w:rPr>
        <w:noProof/>
        <w:sz w:val="18"/>
        <w:szCs w:val="18"/>
        <w:lang w:val="en-GB"/>
      </w:rPr>
      <w:t>4-93</w:t>
    </w:r>
    <w:r w:rsidR="00115E52">
      <w:rPr>
        <w:noProof/>
        <w:sz w:val="18"/>
        <w:szCs w:val="18"/>
        <w:lang w:val="en-GB"/>
      </w:rPr>
      <w:t>64</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F45AB" w14:textId="77777777" w:rsidR="00A84623" w:rsidRDefault="00A84623">
      <w:r>
        <w:separator/>
      </w:r>
    </w:p>
  </w:footnote>
  <w:footnote w:type="continuationSeparator" w:id="0">
    <w:p w14:paraId="063EFF8C" w14:textId="77777777" w:rsidR="00A84623" w:rsidRDefault="00A84623">
      <w:r>
        <w:continuationSeparator/>
      </w:r>
    </w:p>
  </w:footnote>
  <w:footnote w:type="continuationNotice" w:id="1">
    <w:p w14:paraId="1FB26FA0" w14:textId="77777777" w:rsidR="00A84623" w:rsidRDefault="00A84623">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931"/>
    <w:rsid w:val="00002D29"/>
    <w:rsid w:val="0000338D"/>
    <w:rsid w:val="0000712E"/>
    <w:rsid w:val="00010B32"/>
    <w:rsid w:val="00012223"/>
    <w:rsid w:val="00012AF1"/>
    <w:rsid w:val="00013EB7"/>
    <w:rsid w:val="00013F0F"/>
    <w:rsid w:val="00014B76"/>
    <w:rsid w:val="00017E7C"/>
    <w:rsid w:val="0002004D"/>
    <w:rsid w:val="00022D5F"/>
    <w:rsid w:val="00023256"/>
    <w:rsid w:val="00024DAC"/>
    <w:rsid w:val="0003004C"/>
    <w:rsid w:val="00030ABC"/>
    <w:rsid w:val="000333FE"/>
    <w:rsid w:val="0003427A"/>
    <w:rsid w:val="00034D18"/>
    <w:rsid w:val="00035D4D"/>
    <w:rsid w:val="00036B29"/>
    <w:rsid w:val="00045619"/>
    <w:rsid w:val="00045773"/>
    <w:rsid w:val="000503A2"/>
    <w:rsid w:val="000522D4"/>
    <w:rsid w:val="00052587"/>
    <w:rsid w:val="000617C9"/>
    <w:rsid w:val="0006203C"/>
    <w:rsid w:val="00063589"/>
    <w:rsid w:val="00063FB5"/>
    <w:rsid w:val="000677C2"/>
    <w:rsid w:val="00071B53"/>
    <w:rsid w:val="00075FAC"/>
    <w:rsid w:val="00076F64"/>
    <w:rsid w:val="0008316A"/>
    <w:rsid w:val="00087A72"/>
    <w:rsid w:val="00087AB1"/>
    <w:rsid w:val="000920A4"/>
    <w:rsid w:val="00095030"/>
    <w:rsid w:val="000950D5"/>
    <w:rsid w:val="000A3758"/>
    <w:rsid w:val="000B4E71"/>
    <w:rsid w:val="000C1522"/>
    <w:rsid w:val="000C5B55"/>
    <w:rsid w:val="000D2753"/>
    <w:rsid w:val="000D74C4"/>
    <w:rsid w:val="000E5BBC"/>
    <w:rsid w:val="000E5E40"/>
    <w:rsid w:val="000E767D"/>
    <w:rsid w:val="000F0F6C"/>
    <w:rsid w:val="000F4D57"/>
    <w:rsid w:val="000F5DEF"/>
    <w:rsid w:val="0010162C"/>
    <w:rsid w:val="00105302"/>
    <w:rsid w:val="00107CF5"/>
    <w:rsid w:val="00110A94"/>
    <w:rsid w:val="00112210"/>
    <w:rsid w:val="00115D2F"/>
    <w:rsid w:val="00115E52"/>
    <w:rsid w:val="00120298"/>
    <w:rsid w:val="001213B1"/>
    <w:rsid w:val="00122B86"/>
    <w:rsid w:val="00123878"/>
    <w:rsid w:val="00126E99"/>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D5FBA"/>
    <w:rsid w:val="001E0BA5"/>
    <w:rsid w:val="001E3856"/>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56AD6"/>
    <w:rsid w:val="00263C37"/>
    <w:rsid w:val="00266EB9"/>
    <w:rsid w:val="00282863"/>
    <w:rsid w:val="00290440"/>
    <w:rsid w:val="00290EBC"/>
    <w:rsid w:val="002976DE"/>
    <w:rsid w:val="0029778E"/>
    <w:rsid w:val="00297B55"/>
    <w:rsid w:val="002A254C"/>
    <w:rsid w:val="002B74FD"/>
    <w:rsid w:val="002C26E6"/>
    <w:rsid w:val="002C2D95"/>
    <w:rsid w:val="002D2274"/>
    <w:rsid w:val="002D266E"/>
    <w:rsid w:val="002D4121"/>
    <w:rsid w:val="002D7249"/>
    <w:rsid w:val="002E1B83"/>
    <w:rsid w:val="002E7D33"/>
    <w:rsid w:val="002F1A79"/>
    <w:rsid w:val="002F47F3"/>
    <w:rsid w:val="002F58EB"/>
    <w:rsid w:val="0030090E"/>
    <w:rsid w:val="00301341"/>
    <w:rsid w:val="0030318D"/>
    <w:rsid w:val="003045C3"/>
    <w:rsid w:val="00306BCE"/>
    <w:rsid w:val="00313118"/>
    <w:rsid w:val="003232ED"/>
    <w:rsid w:val="003262FC"/>
    <w:rsid w:val="00330261"/>
    <w:rsid w:val="00332F90"/>
    <w:rsid w:val="003378F6"/>
    <w:rsid w:val="00342E7F"/>
    <w:rsid w:val="00345518"/>
    <w:rsid w:val="00346B3B"/>
    <w:rsid w:val="00347673"/>
    <w:rsid w:val="00352EB3"/>
    <w:rsid w:val="00360584"/>
    <w:rsid w:val="00360A8F"/>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3E06"/>
    <w:rsid w:val="003B43A8"/>
    <w:rsid w:val="003B55F6"/>
    <w:rsid w:val="003C10AA"/>
    <w:rsid w:val="003C2D69"/>
    <w:rsid w:val="003C555B"/>
    <w:rsid w:val="003D195A"/>
    <w:rsid w:val="003D2ADD"/>
    <w:rsid w:val="003D3432"/>
    <w:rsid w:val="003D35FA"/>
    <w:rsid w:val="003D4201"/>
    <w:rsid w:val="003D6B49"/>
    <w:rsid w:val="003E11F3"/>
    <w:rsid w:val="003E3A87"/>
    <w:rsid w:val="003F32FF"/>
    <w:rsid w:val="003F554E"/>
    <w:rsid w:val="003F6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63D2D"/>
    <w:rsid w:val="00470018"/>
    <w:rsid w:val="00470AE3"/>
    <w:rsid w:val="00471180"/>
    <w:rsid w:val="00473883"/>
    <w:rsid w:val="0047482E"/>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D38EE"/>
    <w:rsid w:val="004D4A93"/>
    <w:rsid w:val="004E083B"/>
    <w:rsid w:val="004E1482"/>
    <w:rsid w:val="004E1C95"/>
    <w:rsid w:val="004E29A2"/>
    <w:rsid w:val="004E69A4"/>
    <w:rsid w:val="004F00C7"/>
    <w:rsid w:val="004F2332"/>
    <w:rsid w:val="004F322C"/>
    <w:rsid w:val="004F34C4"/>
    <w:rsid w:val="004F3BBC"/>
    <w:rsid w:val="004F4708"/>
    <w:rsid w:val="004F4A09"/>
    <w:rsid w:val="004F74D1"/>
    <w:rsid w:val="004F7644"/>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3CE6"/>
    <w:rsid w:val="0054183B"/>
    <w:rsid w:val="00545216"/>
    <w:rsid w:val="0055037B"/>
    <w:rsid w:val="005558E0"/>
    <w:rsid w:val="00560F3F"/>
    <w:rsid w:val="0056183E"/>
    <w:rsid w:val="00564D42"/>
    <w:rsid w:val="00565A69"/>
    <w:rsid w:val="00571687"/>
    <w:rsid w:val="00571989"/>
    <w:rsid w:val="00572F15"/>
    <w:rsid w:val="00581953"/>
    <w:rsid w:val="00583EC9"/>
    <w:rsid w:val="00584BF4"/>
    <w:rsid w:val="00584D96"/>
    <w:rsid w:val="0058686D"/>
    <w:rsid w:val="005908F0"/>
    <w:rsid w:val="00590ADB"/>
    <w:rsid w:val="00591C26"/>
    <w:rsid w:val="00595AD5"/>
    <w:rsid w:val="005B13A4"/>
    <w:rsid w:val="005B2FB5"/>
    <w:rsid w:val="005B35A2"/>
    <w:rsid w:val="005B3ED3"/>
    <w:rsid w:val="005B48D0"/>
    <w:rsid w:val="005B4F80"/>
    <w:rsid w:val="005C52B2"/>
    <w:rsid w:val="005C632E"/>
    <w:rsid w:val="005C7B3B"/>
    <w:rsid w:val="005D086A"/>
    <w:rsid w:val="005D0AD5"/>
    <w:rsid w:val="005D35C6"/>
    <w:rsid w:val="005D3D85"/>
    <w:rsid w:val="005D720E"/>
    <w:rsid w:val="005E35DD"/>
    <w:rsid w:val="005E3AE0"/>
    <w:rsid w:val="005E3EEE"/>
    <w:rsid w:val="005E53BD"/>
    <w:rsid w:val="005F1D1A"/>
    <w:rsid w:val="005F209E"/>
    <w:rsid w:val="005F776D"/>
    <w:rsid w:val="006006DA"/>
    <w:rsid w:val="00603F87"/>
    <w:rsid w:val="0061336A"/>
    <w:rsid w:val="00615EFA"/>
    <w:rsid w:val="0062387F"/>
    <w:rsid w:val="00626BBA"/>
    <w:rsid w:val="00627FB4"/>
    <w:rsid w:val="00637237"/>
    <w:rsid w:val="0064066F"/>
    <w:rsid w:val="0064390B"/>
    <w:rsid w:val="00647765"/>
    <w:rsid w:val="00651CAF"/>
    <w:rsid w:val="00652EFC"/>
    <w:rsid w:val="00653491"/>
    <w:rsid w:val="006552B5"/>
    <w:rsid w:val="00662C8E"/>
    <w:rsid w:val="00663C6D"/>
    <w:rsid w:val="00673226"/>
    <w:rsid w:val="006738B9"/>
    <w:rsid w:val="00674F9C"/>
    <w:rsid w:val="0067554A"/>
    <w:rsid w:val="00675EEE"/>
    <w:rsid w:val="006770CA"/>
    <w:rsid w:val="00682C5A"/>
    <w:rsid w:val="00686C3A"/>
    <w:rsid w:val="0068769C"/>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5649"/>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B39"/>
    <w:rsid w:val="00785E2E"/>
    <w:rsid w:val="007955F2"/>
    <w:rsid w:val="00795842"/>
    <w:rsid w:val="00795E5F"/>
    <w:rsid w:val="007A04AC"/>
    <w:rsid w:val="007C136C"/>
    <w:rsid w:val="007C201A"/>
    <w:rsid w:val="007C352C"/>
    <w:rsid w:val="007C593F"/>
    <w:rsid w:val="007D29AC"/>
    <w:rsid w:val="007D2FCB"/>
    <w:rsid w:val="007D6292"/>
    <w:rsid w:val="007D7019"/>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0AD3"/>
    <w:rsid w:val="00892A43"/>
    <w:rsid w:val="008938FF"/>
    <w:rsid w:val="00894E29"/>
    <w:rsid w:val="0089693D"/>
    <w:rsid w:val="008A1514"/>
    <w:rsid w:val="008A377D"/>
    <w:rsid w:val="008B738A"/>
    <w:rsid w:val="008C2513"/>
    <w:rsid w:val="008C3178"/>
    <w:rsid w:val="008C5B63"/>
    <w:rsid w:val="008C5E28"/>
    <w:rsid w:val="008C68A0"/>
    <w:rsid w:val="008D02FF"/>
    <w:rsid w:val="008D1243"/>
    <w:rsid w:val="008D243C"/>
    <w:rsid w:val="008D6102"/>
    <w:rsid w:val="008E0AEE"/>
    <w:rsid w:val="008E2C86"/>
    <w:rsid w:val="008E2D12"/>
    <w:rsid w:val="008F13BB"/>
    <w:rsid w:val="008F1BBE"/>
    <w:rsid w:val="008F4ED2"/>
    <w:rsid w:val="008F66E7"/>
    <w:rsid w:val="009044E4"/>
    <w:rsid w:val="009055F3"/>
    <w:rsid w:val="009066B6"/>
    <w:rsid w:val="00907556"/>
    <w:rsid w:val="009123CA"/>
    <w:rsid w:val="00913817"/>
    <w:rsid w:val="009163DF"/>
    <w:rsid w:val="00924137"/>
    <w:rsid w:val="00925F7F"/>
    <w:rsid w:val="0092731B"/>
    <w:rsid w:val="00934048"/>
    <w:rsid w:val="00937D84"/>
    <w:rsid w:val="00947EF4"/>
    <w:rsid w:val="00952960"/>
    <w:rsid w:val="00954440"/>
    <w:rsid w:val="00960A2B"/>
    <w:rsid w:val="00962E40"/>
    <w:rsid w:val="009707C4"/>
    <w:rsid w:val="00970B01"/>
    <w:rsid w:val="00971CC5"/>
    <w:rsid w:val="009812BE"/>
    <w:rsid w:val="009835C6"/>
    <w:rsid w:val="009874BD"/>
    <w:rsid w:val="009900DD"/>
    <w:rsid w:val="00990B40"/>
    <w:rsid w:val="00991002"/>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4D"/>
    <w:rsid w:val="00A2523F"/>
    <w:rsid w:val="00A259FA"/>
    <w:rsid w:val="00A350CC"/>
    <w:rsid w:val="00A433A6"/>
    <w:rsid w:val="00A43E7A"/>
    <w:rsid w:val="00A46ED3"/>
    <w:rsid w:val="00A5049F"/>
    <w:rsid w:val="00A525AF"/>
    <w:rsid w:val="00A54502"/>
    <w:rsid w:val="00A70611"/>
    <w:rsid w:val="00A7101F"/>
    <w:rsid w:val="00A73E50"/>
    <w:rsid w:val="00A7648B"/>
    <w:rsid w:val="00A779FE"/>
    <w:rsid w:val="00A77B07"/>
    <w:rsid w:val="00A84623"/>
    <w:rsid w:val="00A84E04"/>
    <w:rsid w:val="00A853CC"/>
    <w:rsid w:val="00A91076"/>
    <w:rsid w:val="00A96048"/>
    <w:rsid w:val="00A97B08"/>
    <w:rsid w:val="00AA3505"/>
    <w:rsid w:val="00AA5256"/>
    <w:rsid w:val="00AA7762"/>
    <w:rsid w:val="00AB00B8"/>
    <w:rsid w:val="00AB1BD8"/>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3617"/>
    <w:rsid w:val="00B5587D"/>
    <w:rsid w:val="00B5676E"/>
    <w:rsid w:val="00B56D0A"/>
    <w:rsid w:val="00B60EC5"/>
    <w:rsid w:val="00B7159A"/>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32B2"/>
    <w:rsid w:val="00C14AF2"/>
    <w:rsid w:val="00C171B6"/>
    <w:rsid w:val="00C2452B"/>
    <w:rsid w:val="00C27405"/>
    <w:rsid w:val="00C30183"/>
    <w:rsid w:val="00C3644F"/>
    <w:rsid w:val="00C460D8"/>
    <w:rsid w:val="00C545B1"/>
    <w:rsid w:val="00C54B84"/>
    <w:rsid w:val="00C579ED"/>
    <w:rsid w:val="00C6069A"/>
    <w:rsid w:val="00C6164D"/>
    <w:rsid w:val="00C61EEF"/>
    <w:rsid w:val="00C70AAE"/>
    <w:rsid w:val="00C712DE"/>
    <w:rsid w:val="00C8296E"/>
    <w:rsid w:val="00C83C65"/>
    <w:rsid w:val="00C840D0"/>
    <w:rsid w:val="00C90172"/>
    <w:rsid w:val="00C91095"/>
    <w:rsid w:val="00C9751F"/>
    <w:rsid w:val="00C9783F"/>
    <w:rsid w:val="00CA3B1B"/>
    <w:rsid w:val="00CA4870"/>
    <w:rsid w:val="00CA58B5"/>
    <w:rsid w:val="00CB244C"/>
    <w:rsid w:val="00CB759D"/>
    <w:rsid w:val="00CC0A41"/>
    <w:rsid w:val="00CC1F21"/>
    <w:rsid w:val="00CC3BA0"/>
    <w:rsid w:val="00CC6A3D"/>
    <w:rsid w:val="00CC6D8C"/>
    <w:rsid w:val="00CC765C"/>
    <w:rsid w:val="00CD15CC"/>
    <w:rsid w:val="00CD38DB"/>
    <w:rsid w:val="00CD3935"/>
    <w:rsid w:val="00CD4F86"/>
    <w:rsid w:val="00CD75F8"/>
    <w:rsid w:val="00CE1FD0"/>
    <w:rsid w:val="00CE4C29"/>
    <w:rsid w:val="00CE7536"/>
    <w:rsid w:val="00CF0E53"/>
    <w:rsid w:val="00CF366A"/>
    <w:rsid w:val="00CF7E53"/>
    <w:rsid w:val="00D00216"/>
    <w:rsid w:val="00D00DBC"/>
    <w:rsid w:val="00D011CD"/>
    <w:rsid w:val="00D0254B"/>
    <w:rsid w:val="00D225CC"/>
    <w:rsid w:val="00D22682"/>
    <w:rsid w:val="00D240C3"/>
    <w:rsid w:val="00D25196"/>
    <w:rsid w:val="00D2527A"/>
    <w:rsid w:val="00D2740F"/>
    <w:rsid w:val="00D31586"/>
    <w:rsid w:val="00D339BD"/>
    <w:rsid w:val="00D34878"/>
    <w:rsid w:val="00D36765"/>
    <w:rsid w:val="00D371B7"/>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6043"/>
    <w:rsid w:val="00D8710A"/>
    <w:rsid w:val="00D8779C"/>
    <w:rsid w:val="00DA098F"/>
    <w:rsid w:val="00DA0ABA"/>
    <w:rsid w:val="00DB0E68"/>
    <w:rsid w:val="00DB35A9"/>
    <w:rsid w:val="00DB711B"/>
    <w:rsid w:val="00DC0253"/>
    <w:rsid w:val="00DC2AAE"/>
    <w:rsid w:val="00DC30F4"/>
    <w:rsid w:val="00DC4F70"/>
    <w:rsid w:val="00DC6C9C"/>
    <w:rsid w:val="00DC753D"/>
    <w:rsid w:val="00DD0CD4"/>
    <w:rsid w:val="00DD227E"/>
    <w:rsid w:val="00DD6CBD"/>
    <w:rsid w:val="00DD759E"/>
    <w:rsid w:val="00DE1061"/>
    <w:rsid w:val="00DE2699"/>
    <w:rsid w:val="00DE28AE"/>
    <w:rsid w:val="00DE6D29"/>
    <w:rsid w:val="00DE7B12"/>
    <w:rsid w:val="00E0417B"/>
    <w:rsid w:val="00E105BC"/>
    <w:rsid w:val="00E140EF"/>
    <w:rsid w:val="00E1782A"/>
    <w:rsid w:val="00E25542"/>
    <w:rsid w:val="00E2770C"/>
    <w:rsid w:val="00E308ED"/>
    <w:rsid w:val="00E30BB5"/>
    <w:rsid w:val="00E31447"/>
    <w:rsid w:val="00E35FC7"/>
    <w:rsid w:val="00E3660C"/>
    <w:rsid w:val="00E422A2"/>
    <w:rsid w:val="00E47438"/>
    <w:rsid w:val="00E51C35"/>
    <w:rsid w:val="00E64F49"/>
    <w:rsid w:val="00E734C8"/>
    <w:rsid w:val="00E813B7"/>
    <w:rsid w:val="00E81F05"/>
    <w:rsid w:val="00E82874"/>
    <w:rsid w:val="00E9047D"/>
    <w:rsid w:val="00E95E44"/>
    <w:rsid w:val="00EA399C"/>
    <w:rsid w:val="00EA71D7"/>
    <w:rsid w:val="00EB32FA"/>
    <w:rsid w:val="00EB4C19"/>
    <w:rsid w:val="00EB6589"/>
    <w:rsid w:val="00EC53E8"/>
    <w:rsid w:val="00ED2177"/>
    <w:rsid w:val="00ED3B60"/>
    <w:rsid w:val="00ED4052"/>
    <w:rsid w:val="00EE21CE"/>
    <w:rsid w:val="00EE3D80"/>
    <w:rsid w:val="00EE6E92"/>
    <w:rsid w:val="00EF03C9"/>
    <w:rsid w:val="00EF0A8C"/>
    <w:rsid w:val="00EF2B16"/>
    <w:rsid w:val="00EF5C07"/>
    <w:rsid w:val="00EF6A28"/>
    <w:rsid w:val="00EF6FBF"/>
    <w:rsid w:val="00EF74CF"/>
    <w:rsid w:val="00F02A35"/>
    <w:rsid w:val="00F05BF1"/>
    <w:rsid w:val="00F10E8E"/>
    <w:rsid w:val="00F1113D"/>
    <w:rsid w:val="00F175C6"/>
    <w:rsid w:val="00F209A9"/>
    <w:rsid w:val="00F233FF"/>
    <w:rsid w:val="00F27556"/>
    <w:rsid w:val="00F27C45"/>
    <w:rsid w:val="00F34407"/>
    <w:rsid w:val="00F3539A"/>
    <w:rsid w:val="00F54A52"/>
    <w:rsid w:val="00F646C6"/>
    <w:rsid w:val="00F72D9F"/>
    <w:rsid w:val="00F7452A"/>
    <w:rsid w:val="00F76D55"/>
    <w:rsid w:val="00F800AF"/>
    <w:rsid w:val="00F81F1B"/>
    <w:rsid w:val="00F82AA4"/>
    <w:rsid w:val="00F84498"/>
    <w:rsid w:val="00F91683"/>
    <w:rsid w:val="00FA043C"/>
    <w:rsid w:val="00FA17FC"/>
    <w:rsid w:val="00FA43CC"/>
    <w:rsid w:val="00FB06A9"/>
    <w:rsid w:val="00FB17AC"/>
    <w:rsid w:val="00FB7051"/>
    <w:rsid w:val="00FC08E1"/>
    <w:rsid w:val="00FC09AA"/>
    <w:rsid w:val="00FC0A7D"/>
    <w:rsid w:val="00FC622D"/>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837507">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um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eumm.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262</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Ketevan Albekioni</cp:lastModifiedBy>
  <cp:revision>109</cp:revision>
  <cp:lastPrinted>2023-05-15T07:23:00Z</cp:lastPrinted>
  <dcterms:created xsi:type="dcterms:W3CDTF">2022-08-09T04:23:00Z</dcterms:created>
  <dcterms:modified xsi:type="dcterms:W3CDTF">2025-01-15T07:12:00Z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